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27C" w:rsidRDefault="003F627C" w:rsidP="004B65F2">
      <w:pPr>
        <w:spacing w:after="0"/>
        <w:jc w:val="both"/>
        <w:rPr>
          <w:rFonts w:ascii="Times New Roman" w:hAnsi="Times New Roman" w:cs="Times New Roman"/>
          <w:b/>
          <w:smallCaps/>
          <w:sz w:val="28"/>
          <w:szCs w:val="28"/>
        </w:rPr>
      </w:pPr>
      <w:r>
        <w:rPr>
          <w:rFonts w:ascii="Times New Roman" w:hAnsi="Times New Roman" w:cs="Times New Roman"/>
          <w:b/>
          <w:smallCaps/>
          <w:sz w:val="28"/>
          <w:szCs w:val="28"/>
        </w:rPr>
        <w:t xml:space="preserve">Dal </w:t>
      </w:r>
      <w:r>
        <w:rPr>
          <w:rFonts w:ascii="Times New Roman" w:hAnsi="Times New Roman" w:cs="Times New Roman"/>
          <w:b/>
          <w:i/>
          <w:smallCaps/>
          <w:sz w:val="28"/>
          <w:szCs w:val="28"/>
        </w:rPr>
        <w:t>Genocidio</w:t>
      </w:r>
      <w:r>
        <w:rPr>
          <w:rFonts w:ascii="Times New Roman" w:hAnsi="Times New Roman" w:cs="Times New Roman"/>
          <w:b/>
          <w:smallCaps/>
          <w:sz w:val="28"/>
          <w:szCs w:val="28"/>
        </w:rPr>
        <w:t xml:space="preserve"> al </w:t>
      </w:r>
      <w:r>
        <w:rPr>
          <w:rFonts w:ascii="Times New Roman" w:hAnsi="Times New Roman" w:cs="Times New Roman"/>
          <w:b/>
          <w:i/>
          <w:smallCaps/>
          <w:sz w:val="28"/>
          <w:szCs w:val="28"/>
        </w:rPr>
        <w:t>Ginocidio</w:t>
      </w:r>
      <w:r>
        <w:rPr>
          <w:rFonts w:ascii="Times New Roman" w:hAnsi="Times New Roman" w:cs="Times New Roman"/>
          <w:b/>
          <w:smallCaps/>
          <w:sz w:val="28"/>
          <w:szCs w:val="28"/>
        </w:rPr>
        <w:t>. Spunti per una riflessione sulla tutela della vittima secondo i tribunali penali internazionali.</w:t>
      </w:r>
    </w:p>
    <w:p w:rsidR="003F627C" w:rsidRPr="003F627C" w:rsidRDefault="003F627C" w:rsidP="004B65F2">
      <w:pPr>
        <w:spacing w:after="0"/>
        <w:jc w:val="both"/>
        <w:rPr>
          <w:rFonts w:ascii="Times New Roman" w:hAnsi="Times New Roman" w:cs="Times New Roman"/>
          <w:b/>
          <w:smallCaps/>
          <w:sz w:val="26"/>
          <w:szCs w:val="26"/>
        </w:rPr>
      </w:pPr>
      <w:r>
        <w:rPr>
          <w:rFonts w:ascii="Times New Roman" w:hAnsi="Times New Roman" w:cs="Times New Roman"/>
          <w:b/>
          <w:smallCaps/>
          <w:sz w:val="26"/>
          <w:szCs w:val="26"/>
        </w:rPr>
        <w:t>(Francesco Trapella*)</w:t>
      </w:r>
    </w:p>
    <w:p w:rsidR="003F627C" w:rsidRPr="003F627C" w:rsidRDefault="003F627C" w:rsidP="004B65F2">
      <w:pPr>
        <w:spacing w:after="0"/>
        <w:jc w:val="both"/>
        <w:rPr>
          <w:rFonts w:ascii="Times New Roman" w:hAnsi="Times New Roman" w:cs="Times New Roman"/>
          <w:b/>
          <w:smallCaps/>
        </w:rPr>
      </w:pPr>
    </w:p>
    <w:p w:rsidR="003F627C" w:rsidRDefault="003F627C" w:rsidP="004B65F2">
      <w:pPr>
        <w:spacing w:after="0"/>
        <w:jc w:val="both"/>
        <w:rPr>
          <w:rFonts w:ascii="Times New Roman" w:hAnsi="Times New Roman" w:cs="Times New Roman"/>
        </w:rPr>
      </w:pPr>
      <w:r>
        <w:rPr>
          <w:rFonts w:ascii="Times New Roman" w:hAnsi="Times New Roman" w:cs="Times New Roman"/>
          <w:b/>
          <w:smallCaps/>
        </w:rPr>
        <w:t xml:space="preserve">Abstract. </w:t>
      </w:r>
      <w:r>
        <w:rPr>
          <w:rFonts w:ascii="Times New Roman" w:hAnsi="Times New Roman" w:cs="Times New Roman"/>
        </w:rPr>
        <w:t xml:space="preserve">Mediante l’analisi di tre casi di ginocidio, oggetto di altrettante decisioni dei Tribunali </w:t>
      </w:r>
      <w:r>
        <w:rPr>
          <w:rFonts w:ascii="Times New Roman" w:hAnsi="Times New Roman" w:cs="Times New Roman"/>
          <w:i/>
        </w:rPr>
        <w:t>ad hoc</w:t>
      </w:r>
      <w:r>
        <w:rPr>
          <w:rFonts w:ascii="Times New Roman" w:hAnsi="Times New Roman" w:cs="Times New Roman"/>
        </w:rPr>
        <w:t xml:space="preserve"> e della Corte penale internazionale, l’Autore identifica prassi </w:t>
      </w:r>
      <w:r w:rsidR="00A96D10">
        <w:rPr>
          <w:rFonts w:ascii="Times New Roman" w:hAnsi="Times New Roman" w:cs="Times New Roman"/>
        </w:rPr>
        <w:t xml:space="preserve">processuali </w:t>
      </w:r>
      <w:r>
        <w:rPr>
          <w:rFonts w:ascii="Times New Roman" w:hAnsi="Times New Roman" w:cs="Times New Roman"/>
        </w:rPr>
        <w:t xml:space="preserve">virtuose in tutela della vittima, idonee ad essere applicate, </w:t>
      </w:r>
      <w:r>
        <w:rPr>
          <w:rFonts w:ascii="Times New Roman" w:hAnsi="Times New Roman" w:cs="Times New Roman"/>
          <w:i/>
        </w:rPr>
        <w:t>mutatis mutandis</w:t>
      </w:r>
      <w:r>
        <w:rPr>
          <w:rFonts w:ascii="Times New Roman" w:hAnsi="Times New Roman" w:cs="Times New Roman"/>
        </w:rPr>
        <w:t xml:space="preserve">, anche di fronte ai giudici nazionali ed utili, per ciò, ad implementare gli strumenti offerti dai diritti </w:t>
      </w:r>
      <w:r w:rsidR="00A96D10">
        <w:rPr>
          <w:rFonts w:ascii="Times New Roman" w:hAnsi="Times New Roman" w:cs="Times New Roman"/>
        </w:rPr>
        <w:t>interni</w:t>
      </w:r>
      <w:r>
        <w:rPr>
          <w:rFonts w:ascii="Times New Roman" w:hAnsi="Times New Roman" w:cs="Times New Roman"/>
        </w:rPr>
        <w:t xml:space="preserve"> ed europei a salvaguardia della persona offesa. </w:t>
      </w:r>
    </w:p>
    <w:p w:rsidR="003F627C" w:rsidRDefault="003F627C" w:rsidP="004B65F2">
      <w:pPr>
        <w:spacing w:after="0"/>
        <w:jc w:val="both"/>
        <w:rPr>
          <w:rFonts w:ascii="Times New Roman" w:hAnsi="Times New Roman" w:cs="Times New Roman"/>
        </w:rPr>
      </w:pPr>
    </w:p>
    <w:p w:rsidR="003F627C" w:rsidRPr="003F627C" w:rsidRDefault="003F627C" w:rsidP="003F627C">
      <w:pPr>
        <w:spacing w:after="0"/>
        <w:jc w:val="both"/>
        <w:rPr>
          <w:rFonts w:ascii="Times New Roman" w:hAnsi="Times New Roman" w:cs="Times New Roman"/>
        </w:rPr>
      </w:pPr>
      <w:r>
        <w:rPr>
          <w:rFonts w:ascii="Times New Roman" w:hAnsi="Times New Roman" w:cs="Times New Roman"/>
          <w:b/>
          <w:smallCaps/>
        </w:rPr>
        <w:t>Sommario.</w:t>
      </w:r>
      <w:r>
        <w:rPr>
          <w:rFonts w:ascii="Times New Roman" w:hAnsi="Times New Roman" w:cs="Times New Roman"/>
        </w:rPr>
        <w:t xml:space="preserve"> 1. La vittima: da testimone (ancorché qualificato) a vero e proprio centro di diritti. – 2. Casi esemplari: </w:t>
      </w:r>
      <w:r>
        <w:rPr>
          <w:rFonts w:ascii="Times New Roman" w:hAnsi="Times New Roman" w:cs="Times New Roman"/>
          <w:i/>
        </w:rPr>
        <w:t>Kunarac, Kovac</w:t>
      </w:r>
      <w:r>
        <w:rPr>
          <w:rFonts w:ascii="Times New Roman" w:hAnsi="Times New Roman" w:cs="Times New Roman"/>
        </w:rPr>
        <w:t xml:space="preserve"> e </w:t>
      </w:r>
      <w:r>
        <w:rPr>
          <w:rFonts w:ascii="Times New Roman" w:hAnsi="Times New Roman" w:cs="Times New Roman"/>
          <w:i/>
        </w:rPr>
        <w:t xml:space="preserve">Vukovic </w:t>
      </w:r>
      <w:r>
        <w:rPr>
          <w:rFonts w:ascii="Times New Roman" w:hAnsi="Times New Roman" w:cs="Times New Roman"/>
        </w:rPr>
        <w:t xml:space="preserve">…  – 3. … </w:t>
      </w:r>
      <w:r w:rsidRPr="003F627C">
        <w:rPr>
          <w:rFonts w:ascii="Times New Roman" w:hAnsi="Times New Roman" w:cs="Times New Roman"/>
          <w:i/>
        </w:rPr>
        <w:t>Nyiramasuhuko</w:t>
      </w:r>
      <w:r>
        <w:rPr>
          <w:rFonts w:ascii="Times New Roman" w:hAnsi="Times New Roman" w:cs="Times New Roman"/>
          <w:i/>
        </w:rPr>
        <w:t xml:space="preserve"> … </w:t>
      </w:r>
      <w:r>
        <w:rPr>
          <w:rFonts w:ascii="Times New Roman" w:hAnsi="Times New Roman" w:cs="Times New Roman"/>
          <w:b/>
        </w:rPr>
        <w:t xml:space="preserve">- </w:t>
      </w:r>
      <w:r>
        <w:rPr>
          <w:rFonts w:ascii="Times New Roman" w:hAnsi="Times New Roman" w:cs="Times New Roman"/>
        </w:rPr>
        <w:t xml:space="preserve">4. … e </w:t>
      </w:r>
      <w:r>
        <w:rPr>
          <w:rFonts w:ascii="Times New Roman" w:hAnsi="Times New Roman" w:cs="Times New Roman"/>
          <w:i/>
        </w:rPr>
        <w:t>Bemba</w:t>
      </w:r>
      <w:r>
        <w:rPr>
          <w:rFonts w:ascii="Times New Roman" w:hAnsi="Times New Roman" w:cs="Times New Roman"/>
        </w:rPr>
        <w:t xml:space="preserve">. </w:t>
      </w:r>
      <w:r w:rsidRPr="003F627C">
        <w:rPr>
          <w:rFonts w:ascii="Times New Roman" w:hAnsi="Times New Roman" w:cs="Times New Roman"/>
        </w:rPr>
        <w:t xml:space="preserve">– 5. Conclusioni minime: quale apporto dalla giustizia penale internazionale nella tutela delle vittime di violenza di genere? </w:t>
      </w:r>
    </w:p>
    <w:p w:rsidR="003F627C" w:rsidRPr="003F627C" w:rsidRDefault="003F627C" w:rsidP="004B65F2">
      <w:pPr>
        <w:spacing w:after="0"/>
        <w:jc w:val="both"/>
        <w:rPr>
          <w:rFonts w:ascii="Times New Roman" w:hAnsi="Times New Roman" w:cs="Times New Roman"/>
        </w:rPr>
      </w:pPr>
    </w:p>
    <w:p w:rsidR="003F627C" w:rsidRPr="003F627C" w:rsidRDefault="003F627C" w:rsidP="004B65F2">
      <w:pPr>
        <w:spacing w:after="0"/>
        <w:jc w:val="both"/>
        <w:rPr>
          <w:rFonts w:ascii="Times New Roman" w:hAnsi="Times New Roman" w:cs="Times New Roman"/>
        </w:rPr>
      </w:pPr>
      <w:r>
        <w:rPr>
          <w:rFonts w:ascii="Times New Roman" w:hAnsi="Times New Roman" w:cs="Times New Roman"/>
          <w:b/>
          <w:smallCaps/>
        </w:rPr>
        <w:t>Parole chiave:</w:t>
      </w:r>
      <w:r>
        <w:rPr>
          <w:rFonts w:ascii="Times New Roman" w:hAnsi="Times New Roman" w:cs="Times New Roman"/>
        </w:rPr>
        <w:t xml:space="preserve"> vittima; testimone; genocidio; ginocidio; </w:t>
      </w:r>
      <w:r w:rsidR="00A96D10">
        <w:rPr>
          <w:rFonts w:ascii="Times New Roman" w:hAnsi="Times New Roman" w:cs="Times New Roman"/>
        </w:rPr>
        <w:t xml:space="preserve">stupro etnico; annientamento di genere; credibilità. </w:t>
      </w:r>
    </w:p>
    <w:p w:rsidR="003F627C" w:rsidRPr="003F627C" w:rsidRDefault="003F627C" w:rsidP="004B65F2">
      <w:pPr>
        <w:spacing w:after="0"/>
        <w:jc w:val="both"/>
        <w:rPr>
          <w:rFonts w:ascii="Times New Roman" w:hAnsi="Times New Roman" w:cs="Times New Roman"/>
        </w:rPr>
      </w:pPr>
    </w:p>
    <w:p w:rsidR="00F33B75" w:rsidRPr="006D67CF" w:rsidRDefault="004B65F2" w:rsidP="004B65F2">
      <w:pPr>
        <w:spacing w:after="0"/>
        <w:jc w:val="both"/>
        <w:rPr>
          <w:rFonts w:ascii="Times New Roman" w:hAnsi="Times New Roman" w:cs="Times New Roman"/>
          <w:b/>
          <w:smallCaps/>
          <w:sz w:val="24"/>
          <w:szCs w:val="24"/>
        </w:rPr>
      </w:pPr>
      <w:r w:rsidRPr="006D67CF">
        <w:rPr>
          <w:rFonts w:ascii="Times New Roman" w:hAnsi="Times New Roman" w:cs="Times New Roman"/>
          <w:b/>
          <w:smallCaps/>
          <w:sz w:val="24"/>
          <w:szCs w:val="24"/>
        </w:rPr>
        <w:t>1.</w:t>
      </w:r>
      <w:r w:rsidR="00B74F79" w:rsidRPr="006D67CF">
        <w:rPr>
          <w:rFonts w:ascii="Times New Roman" w:hAnsi="Times New Roman" w:cs="Times New Roman"/>
          <w:b/>
          <w:smallCaps/>
          <w:sz w:val="24"/>
          <w:szCs w:val="24"/>
        </w:rPr>
        <w:t xml:space="preserve"> La vittima: da testimone</w:t>
      </w:r>
      <w:r w:rsidR="006D67CF">
        <w:rPr>
          <w:rFonts w:ascii="Times New Roman" w:hAnsi="Times New Roman" w:cs="Times New Roman"/>
          <w:b/>
          <w:smallCaps/>
          <w:sz w:val="24"/>
          <w:szCs w:val="24"/>
        </w:rPr>
        <w:t xml:space="preserve"> (ancorché qualificato) </w:t>
      </w:r>
      <w:r w:rsidR="00B74F79" w:rsidRPr="006D67CF">
        <w:rPr>
          <w:rFonts w:ascii="Times New Roman" w:hAnsi="Times New Roman" w:cs="Times New Roman"/>
          <w:b/>
          <w:smallCaps/>
          <w:sz w:val="24"/>
          <w:szCs w:val="24"/>
        </w:rPr>
        <w:t>a</w:t>
      </w:r>
      <w:r w:rsidR="006D67CF">
        <w:rPr>
          <w:rFonts w:ascii="Times New Roman" w:hAnsi="Times New Roman" w:cs="Times New Roman"/>
          <w:b/>
          <w:smallCaps/>
          <w:sz w:val="24"/>
          <w:szCs w:val="24"/>
        </w:rPr>
        <w:t xml:space="preserve"> vero e proprio</w:t>
      </w:r>
      <w:r w:rsidR="00B74F79" w:rsidRPr="006D67CF">
        <w:rPr>
          <w:rFonts w:ascii="Times New Roman" w:hAnsi="Times New Roman" w:cs="Times New Roman"/>
          <w:b/>
          <w:smallCaps/>
          <w:sz w:val="24"/>
          <w:szCs w:val="24"/>
        </w:rPr>
        <w:t xml:space="preserve"> centro di diritti</w:t>
      </w:r>
      <w:r w:rsidR="00A96D10" w:rsidRPr="00A96D10">
        <w:rPr>
          <w:rStyle w:val="Rimandonotaapidipagina"/>
          <w:rFonts w:ascii="Times New Roman" w:hAnsi="Times New Roman" w:cs="Times New Roman"/>
          <w:smallCaps/>
          <w:sz w:val="24"/>
          <w:szCs w:val="24"/>
        </w:rPr>
        <w:footnoteReference w:id="2"/>
      </w:r>
      <w:r w:rsidR="00B74F79" w:rsidRPr="006D67CF">
        <w:rPr>
          <w:rFonts w:ascii="Times New Roman" w:hAnsi="Times New Roman" w:cs="Times New Roman"/>
          <w:b/>
          <w:smallCaps/>
          <w:sz w:val="24"/>
          <w:szCs w:val="24"/>
        </w:rPr>
        <w:t>.</w:t>
      </w:r>
    </w:p>
    <w:p w:rsidR="004B65F2" w:rsidRDefault="004B65F2" w:rsidP="004B65F2">
      <w:pPr>
        <w:spacing w:after="0"/>
        <w:jc w:val="both"/>
        <w:rPr>
          <w:rFonts w:ascii="Times New Roman" w:hAnsi="Times New Roman" w:cs="Times New Roman"/>
          <w:sz w:val="24"/>
          <w:szCs w:val="24"/>
        </w:rPr>
      </w:pPr>
      <w:r>
        <w:rPr>
          <w:rFonts w:ascii="Times New Roman" w:hAnsi="Times New Roman" w:cs="Times New Roman"/>
          <w:sz w:val="24"/>
          <w:szCs w:val="24"/>
        </w:rPr>
        <w:t>Un utile contributo allo studio delle tutele riconoscibili alla vittima di violenza di genere è offerto dalla giustizia penale internazionale. Non può, infatti, tacersi l’evoluzione occorsa nell’ultimo quarto di secolo, dacché gli Statuti dei Tribunali p</w:t>
      </w:r>
      <w:r w:rsidR="00E479EE">
        <w:rPr>
          <w:rFonts w:ascii="Times New Roman" w:hAnsi="Times New Roman" w:cs="Times New Roman"/>
          <w:sz w:val="24"/>
          <w:szCs w:val="24"/>
        </w:rPr>
        <w:t>er la ex Jugoslavia e per il Ru</w:t>
      </w:r>
      <w:r>
        <w:rPr>
          <w:rFonts w:ascii="Times New Roman" w:hAnsi="Times New Roman" w:cs="Times New Roman"/>
          <w:sz w:val="24"/>
          <w:szCs w:val="24"/>
        </w:rPr>
        <w:t>anda intendevano l’offeso unicamente come testimone, mostrando una certa attenzione rispetto al racconto delle sue sofferenze in quanto funzionale all’accertamento del fatto criminoso, arrivando, poi, allo Statuto della Corte Speciale per la Sierra Leone e a quello della Corte penale internazionale, che</w:t>
      </w:r>
      <w:r w:rsidR="00E479EE">
        <w:rPr>
          <w:rFonts w:ascii="Times New Roman" w:hAnsi="Times New Roman" w:cs="Times New Roman"/>
          <w:sz w:val="24"/>
          <w:szCs w:val="24"/>
        </w:rPr>
        <w:t xml:space="preserve"> fanno della vittima un centro di diritti azionabili in giudizio</w:t>
      </w:r>
      <w:r w:rsidR="00E479EE">
        <w:rPr>
          <w:rStyle w:val="Rimandonotaapidipagina"/>
          <w:rFonts w:ascii="Times New Roman" w:hAnsi="Times New Roman" w:cs="Times New Roman"/>
          <w:sz w:val="24"/>
          <w:szCs w:val="24"/>
        </w:rPr>
        <w:footnoteReference w:id="3"/>
      </w:r>
      <w:r w:rsidR="007D1CA1">
        <w:rPr>
          <w:rFonts w:ascii="Times New Roman" w:hAnsi="Times New Roman" w:cs="Times New Roman"/>
          <w:sz w:val="24"/>
          <w:szCs w:val="24"/>
        </w:rPr>
        <w:t xml:space="preserve">: si passa, insomma, dalla semplice </w:t>
      </w:r>
      <w:r w:rsidR="007D1CA1" w:rsidRPr="007D1CA1">
        <w:rPr>
          <w:rFonts w:ascii="Times New Roman" w:hAnsi="Times New Roman" w:cs="Times New Roman"/>
          <w:i/>
          <w:sz w:val="24"/>
          <w:szCs w:val="24"/>
        </w:rPr>
        <w:t>empatia</w:t>
      </w:r>
      <w:r w:rsidR="007D1CA1">
        <w:rPr>
          <w:rStyle w:val="Rimandonotaapidipagina"/>
          <w:rFonts w:ascii="Times New Roman" w:hAnsi="Times New Roman" w:cs="Times New Roman"/>
          <w:sz w:val="24"/>
          <w:szCs w:val="24"/>
        </w:rPr>
        <w:footnoteReference w:id="4"/>
      </w:r>
      <w:r w:rsidR="007D1CA1">
        <w:rPr>
          <w:rFonts w:ascii="Times New Roman" w:hAnsi="Times New Roman" w:cs="Times New Roman"/>
          <w:sz w:val="24"/>
          <w:szCs w:val="24"/>
        </w:rPr>
        <w:t xml:space="preserve"> del giudice internazionale verso il soggetto passivo del reato ad un vero e proprio ordinamento dei diritti della vittima. Fa da sfondo il complesso di previsioni – esistenti già negli Statuti dei Tribunali per la ex Jugoslavia e per il Ruanda</w:t>
      </w:r>
      <w:r w:rsidR="007D1CA1">
        <w:rPr>
          <w:rStyle w:val="Rimandonotaapidipagina"/>
          <w:rFonts w:ascii="Times New Roman" w:hAnsi="Times New Roman" w:cs="Times New Roman"/>
          <w:sz w:val="24"/>
          <w:szCs w:val="24"/>
        </w:rPr>
        <w:footnoteReference w:id="5"/>
      </w:r>
      <w:r w:rsidR="007D1CA1">
        <w:rPr>
          <w:rFonts w:ascii="Times New Roman" w:hAnsi="Times New Roman" w:cs="Times New Roman"/>
          <w:sz w:val="24"/>
          <w:szCs w:val="24"/>
        </w:rPr>
        <w:t xml:space="preserve"> – idonee ad istituire unità di supporto per vittime e testimoni (</w:t>
      </w:r>
      <w:r w:rsidR="007D1CA1">
        <w:rPr>
          <w:rFonts w:ascii="Times New Roman" w:hAnsi="Times New Roman" w:cs="Times New Roman"/>
          <w:i/>
          <w:sz w:val="24"/>
          <w:szCs w:val="24"/>
        </w:rPr>
        <w:t>Victims and Witnesses Sections – VWS</w:t>
      </w:r>
      <w:r w:rsidR="007D1CA1">
        <w:rPr>
          <w:rFonts w:ascii="Times New Roman" w:hAnsi="Times New Roman" w:cs="Times New Roman"/>
          <w:sz w:val="24"/>
          <w:szCs w:val="24"/>
        </w:rPr>
        <w:t xml:space="preserve">): </w:t>
      </w:r>
      <w:r w:rsidR="007D1CA1">
        <w:rPr>
          <w:rFonts w:ascii="Times New Roman" w:hAnsi="Times New Roman" w:cs="Times New Roman"/>
          <w:sz w:val="24"/>
          <w:szCs w:val="24"/>
        </w:rPr>
        <w:lastRenderedPageBreak/>
        <w:t>strutture ereditate</w:t>
      </w:r>
      <w:r w:rsidR="001121B8">
        <w:rPr>
          <w:rFonts w:ascii="Times New Roman" w:hAnsi="Times New Roman" w:cs="Times New Roman"/>
          <w:sz w:val="24"/>
          <w:szCs w:val="24"/>
        </w:rPr>
        <w:t>, poi,</w:t>
      </w:r>
      <w:r w:rsidR="007D1CA1">
        <w:rPr>
          <w:rFonts w:ascii="Times New Roman" w:hAnsi="Times New Roman" w:cs="Times New Roman"/>
          <w:sz w:val="24"/>
          <w:szCs w:val="24"/>
        </w:rPr>
        <w:t xml:space="preserve"> dalla Corte Speciale per la Sierra Leone</w:t>
      </w:r>
      <w:r w:rsidR="007D1CA1">
        <w:rPr>
          <w:rStyle w:val="Rimandonotaapidipagina"/>
          <w:rFonts w:ascii="Times New Roman" w:hAnsi="Times New Roman" w:cs="Times New Roman"/>
          <w:sz w:val="24"/>
          <w:szCs w:val="24"/>
        </w:rPr>
        <w:footnoteReference w:id="6"/>
      </w:r>
      <w:r w:rsidR="007D1CA1">
        <w:rPr>
          <w:rFonts w:ascii="Times New Roman" w:hAnsi="Times New Roman" w:cs="Times New Roman"/>
          <w:sz w:val="24"/>
          <w:szCs w:val="24"/>
        </w:rPr>
        <w:t xml:space="preserve"> e dalla Corte penale internazionale</w:t>
      </w:r>
      <w:r w:rsidR="007D1CA1">
        <w:rPr>
          <w:rStyle w:val="Rimandonotaapidipagina"/>
          <w:rFonts w:ascii="Times New Roman" w:hAnsi="Times New Roman" w:cs="Times New Roman"/>
          <w:sz w:val="24"/>
          <w:szCs w:val="24"/>
        </w:rPr>
        <w:footnoteReference w:id="7"/>
      </w:r>
      <w:r w:rsidR="007D1CA1">
        <w:rPr>
          <w:rFonts w:ascii="Times New Roman" w:hAnsi="Times New Roman" w:cs="Times New Roman"/>
          <w:sz w:val="24"/>
          <w:szCs w:val="24"/>
        </w:rPr>
        <w:t>.</w:t>
      </w:r>
    </w:p>
    <w:p w:rsidR="001121B8" w:rsidRDefault="001121B8" w:rsidP="004B65F2">
      <w:pPr>
        <w:spacing w:after="0"/>
        <w:jc w:val="both"/>
        <w:rPr>
          <w:rFonts w:ascii="Times New Roman" w:hAnsi="Times New Roman" w:cs="Times New Roman"/>
          <w:sz w:val="24"/>
          <w:szCs w:val="24"/>
        </w:rPr>
      </w:pPr>
      <w:r>
        <w:rPr>
          <w:rFonts w:ascii="Times New Roman" w:hAnsi="Times New Roman" w:cs="Times New Roman"/>
          <w:sz w:val="24"/>
          <w:szCs w:val="24"/>
        </w:rPr>
        <w:tab/>
        <w:t>È nel segno dell’evoluzione appena evocata che va considerato il contributo giurisprudenziale alla descrizione dei connotati più tipici della condotta ginocidiaria: numerose pronunce dei Tribunali per la ex Jugoslavia e per il Ruanda tratteggiano, mediante le parole delle vittime-testimoni udite in giudizio, i contorni di quella specifica ip</w:t>
      </w:r>
      <w:r w:rsidR="00C50045">
        <w:rPr>
          <w:rFonts w:ascii="Times New Roman" w:hAnsi="Times New Roman" w:cs="Times New Roman"/>
          <w:sz w:val="24"/>
          <w:szCs w:val="24"/>
        </w:rPr>
        <w:t>otesi criminale che è data dallo stupro e dall’annientamento di genere quali presupposti</w:t>
      </w:r>
      <w:r>
        <w:rPr>
          <w:rFonts w:ascii="Times New Roman" w:hAnsi="Times New Roman" w:cs="Times New Roman"/>
          <w:sz w:val="24"/>
          <w:szCs w:val="24"/>
        </w:rPr>
        <w:t xml:space="preserve"> per la distruzione fisica di un </w:t>
      </w:r>
      <w:r>
        <w:rPr>
          <w:rFonts w:ascii="Symbol" w:hAnsi="Symbol" w:cs="Times New Roman"/>
          <w:sz w:val="24"/>
          <w:szCs w:val="24"/>
        </w:rPr>
        <w:t></w:t>
      </w:r>
      <w:r>
        <w:rPr>
          <w:rFonts w:ascii="Times New Roman" w:hAnsi="Times New Roman" w:cs="Times New Roman"/>
          <w:sz w:val="24"/>
          <w:szCs w:val="24"/>
        </w:rPr>
        <w:t>έ</w:t>
      </w:r>
      <w:r>
        <w:rPr>
          <w:rFonts w:ascii="Symbol" w:hAnsi="Symbol" w:cs="Times New Roman"/>
          <w:sz w:val="24"/>
          <w:szCs w:val="24"/>
        </w:rPr>
        <w:t></w:t>
      </w:r>
      <w:r>
        <w:rPr>
          <w:rFonts w:ascii="Symbol" w:hAnsi="Symbol" w:cs="Times New Roman"/>
          <w:sz w:val="24"/>
          <w:szCs w:val="24"/>
        </w:rPr>
        <w:t></w:t>
      </w:r>
      <w:r>
        <w:rPr>
          <w:rFonts w:ascii="Times New Roman" w:hAnsi="Times New Roman" w:cs="Times New Roman"/>
          <w:sz w:val="24"/>
          <w:szCs w:val="24"/>
        </w:rPr>
        <w:t>ς, donde il facile accostamento terminologico “genocidio-ginocidio”</w:t>
      </w:r>
      <w:r>
        <w:rPr>
          <w:rStyle w:val="Rimandonotaapidipagina"/>
          <w:rFonts w:ascii="Times New Roman" w:hAnsi="Times New Roman" w:cs="Times New Roman"/>
          <w:sz w:val="24"/>
          <w:szCs w:val="24"/>
        </w:rPr>
        <w:footnoteReference w:id="8"/>
      </w:r>
      <w:r>
        <w:rPr>
          <w:rFonts w:ascii="Times New Roman" w:hAnsi="Times New Roman" w:cs="Times New Roman"/>
          <w:sz w:val="24"/>
          <w:szCs w:val="24"/>
        </w:rPr>
        <w:t>; si giunge</w:t>
      </w:r>
      <w:r w:rsidR="00B74F79">
        <w:rPr>
          <w:rFonts w:ascii="Times New Roman" w:hAnsi="Times New Roman" w:cs="Times New Roman"/>
          <w:sz w:val="24"/>
          <w:szCs w:val="24"/>
        </w:rPr>
        <w:t xml:space="preserve">, poi, poco a poco, </w:t>
      </w:r>
      <w:r w:rsidR="00D07854">
        <w:rPr>
          <w:rFonts w:ascii="Times New Roman" w:hAnsi="Times New Roman" w:cs="Times New Roman"/>
          <w:sz w:val="24"/>
          <w:szCs w:val="24"/>
        </w:rPr>
        <w:t>al crescente aumento di spazi riconoscibili alla vittima, titolare di un «</w:t>
      </w:r>
      <w:r w:rsidR="00D07854">
        <w:rPr>
          <w:rFonts w:ascii="Times New Roman" w:hAnsi="Times New Roman" w:cs="Times New Roman"/>
          <w:i/>
          <w:sz w:val="24"/>
          <w:szCs w:val="24"/>
        </w:rPr>
        <w:t>overriding interest</w:t>
      </w:r>
      <w:r w:rsidR="00D07854">
        <w:rPr>
          <w:rFonts w:ascii="Times New Roman" w:hAnsi="Times New Roman" w:cs="Times New Roman"/>
          <w:sz w:val="24"/>
          <w:szCs w:val="24"/>
        </w:rPr>
        <w:t>»</w:t>
      </w:r>
      <w:r w:rsidR="00D07854">
        <w:rPr>
          <w:rStyle w:val="Rimandonotaapidipagina"/>
          <w:rFonts w:ascii="Times New Roman" w:hAnsi="Times New Roman" w:cs="Times New Roman"/>
          <w:sz w:val="24"/>
          <w:szCs w:val="24"/>
        </w:rPr>
        <w:footnoteReference w:id="9"/>
      </w:r>
      <w:r w:rsidR="00D07854">
        <w:rPr>
          <w:rFonts w:ascii="Times New Roman" w:hAnsi="Times New Roman" w:cs="Times New Roman"/>
          <w:sz w:val="24"/>
          <w:szCs w:val="24"/>
        </w:rPr>
        <w:t xml:space="preserve"> di fronte alla Corte penale internazionale.</w:t>
      </w:r>
    </w:p>
    <w:p w:rsidR="00D07854" w:rsidRDefault="00D07854" w:rsidP="004B65F2">
      <w:pPr>
        <w:spacing w:after="0"/>
        <w:jc w:val="both"/>
        <w:rPr>
          <w:rFonts w:ascii="Times New Roman" w:hAnsi="Times New Roman" w:cs="Times New Roman"/>
          <w:sz w:val="24"/>
          <w:szCs w:val="24"/>
        </w:rPr>
      </w:pPr>
      <w:r>
        <w:rPr>
          <w:rFonts w:ascii="Times New Roman" w:hAnsi="Times New Roman" w:cs="Times New Roman"/>
          <w:sz w:val="24"/>
          <w:szCs w:val="24"/>
        </w:rPr>
        <w:tab/>
        <w:t>Guardando al ginocidio, quindi, si può osservare un doppio movimento: la fattispecie è stata coniata dall’elaborazione giurisprudenziale su quelle norme statutarie che inseriscono lo stupro tra i crimini contro l’umanità</w:t>
      </w:r>
      <w:r w:rsidR="00F11D97">
        <w:rPr>
          <w:rStyle w:val="Rimandonotaapidipagina"/>
          <w:rFonts w:ascii="Times New Roman" w:hAnsi="Times New Roman" w:cs="Times New Roman"/>
          <w:sz w:val="24"/>
          <w:szCs w:val="24"/>
        </w:rPr>
        <w:footnoteReference w:id="10"/>
      </w:r>
      <w:r>
        <w:rPr>
          <w:rFonts w:ascii="Times New Roman" w:hAnsi="Times New Roman" w:cs="Times New Roman"/>
          <w:sz w:val="24"/>
          <w:szCs w:val="24"/>
        </w:rPr>
        <w:t xml:space="preserve">, grazie alle deposizioni delle vittime-testimoni che hanno permesso di esaltarne l’elemento della sistematica ripetizione delle condotte offensive, unito alla volontà di eliminare, </w:t>
      </w:r>
      <w:r w:rsidR="00995E31">
        <w:rPr>
          <w:rFonts w:ascii="Times New Roman" w:hAnsi="Times New Roman" w:cs="Times New Roman"/>
          <w:sz w:val="24"/>
          <w:szCs w:val="24"/>
        </w:rPr>
        <w:t>così</w:t>
      </w:r>
      <w:r>
        <w:rPr>
          <w:rFonts w:ascii="Times New Roman" w:hAnsi="Times New Roman" w:cs="Times New Roman"/>
          <w:sz w:val="24"/>
          <w:szCs w:val="24"/>
        </w:rPr>
        <w:t xml:space="preserve">, un gruppo caratterizzato sotto il profilo religioso, politico o sociale, in un contesto di guerra e, quindi, in aperto contrasto con lo </w:t>
      </w:r>
      <w:r>
        <w:rPr>
          <w:rFonts w:ascii="Times New Roman" w:hAnsi="Times New Roman" w:cs="Times New Roman"/>
          <w:i/>
          <w:sz w:val="24"/>
          <w:szCs w:val="24"/>
        </w:rPr>
        <w:t>ius belli</w:t>
      </w:r>
      <w:r>
        <w:rPr>
          <w:rFonts w:ascii="Times New Roman" w:hAnsi="Times New Roman" w:cs="Times New Roman"/>
          <w:sz w:val="24"/>
          <w:szCs w:val="24"/>
        </w:rPr>
        <w:t xml:space="preserve"> convenzionale</w:t>
      </w:r>
      <w:r w:rsidR="00F11D97">
        <w:rPr>
          <w:rStyle w:val="Rimandonotaapidipagina"/>
          <w:rFonts w:ascii="Times New Roman" w:hAnsi="Times New Roman" w:cs="Times New Roman"/>
          <w:sz w:val="24"/>
          <w:szCs w:val="24"/>
        </w:rPr>
        <w:footnoteReference w:id="11"/>
      </w:r>
      <w:r w:rsidR="00F11D97">
        <w:rPr>
          <w:rFonts w:ascii="Times New Roman" w:hAnsi="Times New Roman" w:cs="Times New Roman"/>
          <w:sz w:val="24"/>
          <w:szCs w:val="24"/>
        </w:rPr>
        <w:t xml:space="preserve">; </w:t>
      </w:r>
      <w:r w:rsidR="006D67CF">
        <w:rPr>
          <w:rFonts w:ascii="Times New Roman" w:hAnsi="Times New Roman" w:cs="Times New Roman"/>
          <w:sz w:val="24"/>
          <w:szCs w:val="24"/>
        </w:rPr>
        <w:t>gli sviluppi successivi</w:t>
      </w:r>
      <w:r w:rsidR="00F11D97">
        <w:rPr>
          <w:rFonts w:ascii="Times New Roman" w:hAnsi="Times New Roman" w:cs="Times New Roman"/>
          <w:sz w:val="24"/>
          <w:szCs w:val="24"/>
        </w:rPr>
        <w:t xml:space="preserve"> della materia ha</w:t>
      </w:r>
      <w:r w:rsidR="006D67CF">
        <w:rPr>
          <w:rFonts w:ascii="Times New Roman" w:hAnsi="Times New Roman" w:cs="Times New Roman"/>
          <w:sz w:val="24"/>
          <w:szCs w:val="24"/>
        </w:rPr>
        <w:t>nno</w:t>
      </w:r>
      <w:r w:rsidR="00F11D97">
        <w:rPr>
          <w:rFonts w:ascii="Times New Roman" w:hAnsi="Times New Roman" w:cs="Times New Roman"/>
          <w:sz w:val="24"/>
          <w:szCs w:val="24"/>
        </w:rPr>
        <w:t xml:space="preserve"> portato, poi, a concepire il giudice penale internazionale come organo di salvaguardia delle prerogative della vittima, arricchendone</w:t>
      </w:r>
      <w:r w:rsidR="00995E31">
        <w:rPr>
          <w:rFonts w:ascii="Times New Roman" w:hAnsi="Times New Roman" w:cs="Times New Roman"/>
          <w:sz w:val="24"/>
          <w:szCs w:val="24"/>
        </w:rPr>
        <w:t xml:space="preserve"> in tal modo</w:t>
      </w:r>
      <w:r w:rsidR="00F11D97">
        <w:rPr>
          <w:rFonts w:ascii="Times New Roman" w:hAnsi="Times New Roman" w:cs="Times New Roman"/>
          <w:sz w:val="24"/>
          <w:szCs w:val="24"/>
        </w:rPr>
        <w:t xml:space="preserve"> la posizione e portandola al di fuori – si diceva – dell’idea di essere appena qualcosa di più che un testimone. </w:t>
      </w:r>
    </w:p>
    <w:p w:rsidR="00B74F79" w:rsidRDefault="00B74F79" w:rsidP="004B65F2">
      <w:pPr>
        <w:spacing w:after="0"/>
        <w:jc w:val="both"/>
        <w:rPr>
          <w:rFonts w:ascii="Times New Roman" w:hAnsi="Times New Roman" w:cs="Times New Roman"/>
          <w:sz w:val="24"/>
          <w:szCs w:val="24"/>
        </w:rPr>
      </w:pPr>
      <w:r>
        <w:rPr>
          <w:rFonts w:ascii="Times New Roman" w:hAnsi="Times New Roman" w:cs="Times New Roman"/>
          <w:sz w:val="24"/>
          <w:szCs w:val="24"/>
        </w:rPr>
        <w:tab/>
        <w:t xml:space="preserve">La vittima da veicolo utile alla ricostruzione del fatto a centro di interessi, dunque. E la fattispecie ginocidiaria è utile paradigma per lo studio di una tale </w:t>
      </w:r>
      <w:r w:rsidR="005B4BEC">
        <w:rPr>
          <w:rFonts w:ascii="Times New Roman" w:hAnsi="Times New Roman" w:cs="Times New Roman"/>
          <w:sz w:val="24"/>
          <w:szCs w:val="24"/>
        </w:rPr>
        <w:t>metamorfosi</w:t>
      </w:r>
      <w:r>
        <w:rPr>
          <w:rFonts w:ascii="Times New Roman" w:hAnsi="Times New Roman" w:cs="Times New Roman"/>
          <w:sz w:val="24"/>
          <w:szCs w:val="24"/>
        </w:rPr>
        <w:t xml:space="preserve">, che attraversa gli ultimi venticinque anni di storia della giustizia penale internazionale. </w:t>
      </w:r>
    </w:p>
    <w:p w:rsidR="006D67CF" w:rsidRDefault="006D67CF" w:rsidP="004B65F2">
      <w:pPr>
        <w:spacing w:after="0"/>
        <w:jc w:val="both"/>
        <w:rPr>
          <w:rFonts w:ascii="Times New Roman" w:hAnsi="Times New Roman" w:cs="Times New Roman"/>
          <w:sz w:val="24"/>
          <w:szCs w:val="24"/>
        </w:rPr>
      </w:pPr>
    </w:p>
    <w:p w:rsidR="006D67CF" w:rsidRDefault="006D67CF" w:rsidP="004B65F2">
      <w:pPr>
        <w:spacing w:after="0"/>
        <w:jc w:val="both"/>
        <w:rPr>
          <w:rFonts w:ascii="Times New Roman" w:hAnsi="Times New Roman" w:cs="Times New Roman"/>
          <w:b/>
          <w:smallCaps/>
          <w:sz w:val="24"/>
          <w:szCs w:val="24"/>
        </w:rPr>
      </w:pPr>
      <w:r>
        <w:rPr>
          <w:rFonts w:ascii="Times New Roman" w:hAnsi="Times New Roman" w:cs="Times New Roman"/>
          <w:b/>
          <w:sz w:val="24"/>
          <w:szCs w:val="24"/>
        </w:rPr>
        <w:t xml:space="preserve">2. </w:t>
      </w:r>
      <w:r w:rsidRPr="006D67CF">
        <w:rPr>
          <w:rFonts w:ascii="Times New Roman" w:hAnsi="Times New Roman" w:cs="Times New Roman"/>
          <w:b/>
          <w:smallCaps/>
          <w:sz w:val="24"/>
          <w:szCs w:val="24"/>
        </w:rPr>
        <w:t>Casi esemplar</w:t>
      </w:r>
      <w:r>
        <w:rPr>
          <w:rFonts w:ascii="Times New Roman" w:hAnsi="Times New Roman" w:cs="Times New Roman"/>
          <w:b/>
          <w:smallCaps/>
          <w:sz w:val="24"/>
          <w:szCs w:val="24"/>
        </w:rPr>
        <w:t xml:space="preserve">i. </w:t>
      </w:r>
      <w:r>
        <w:rPr>
          <w:rFonts w:ascii="Times New Roman" w:hAnsi="Times New Roman" w:cs="Times New Roman"/>
          <w:b/>
          <w:i/>
          <w:smallCaps/>
          <w:sz w:val="24"/>
          <w:szCs w:val="24"/>
        </w:rPr>
        <w:t>Kunarac</w:t>
      </w:r>
      <w:r w:rsidR="0074327A">
        <w:rPr>
          <w:rFonts w:ascii="Times New Roman" w:hAnsi="Times New Roman" w:cs="Times New Roman"/>
          <w:b/>
          <w:i/>
          <w:smallCaps/>
          <w:sz w:val="24"/>
          <w:szCs w:val="24"/>
        </w:rPr>
        <w:t>, Kovac e Vukovic</w:t>
      </w:r>
      <w:r>
        <w:rPr>
          <w:rFonts w:ascii="Times New Roman" w:hAnsi="Times New Roman" w:cs="Times New Roman"/>
          <w:b/>
          <w:smallCaps/>
          <w:sz w:val="24"/>
          <w:szCs w:val="24"/>
        </w:rPr>
        <w:t xml:space="preserve"> …</w:t>
      </w:r>
    </w:p>
    <w:p w:rsidR="006D67CF" w:rsidRDefault="006D67CF" w:rsidP="004B65F2">
      <w:pPr>
        <w:spacing w:after="0"/>
        <w:jc w:val="both"/>
        <w:rPr>
          <w:rFonts w:ascii="Times New Roman" w:hAnsi="Times New Roman" w:cs="Times New Roman"/>
          <w:sz w:val="24"/>
          <w:szCs w:val="24"/>
        </w:rPr>
      </w:pPr>
      <w:r>
        <w:rPr>
          <w:rFonts w:ascii="Times New Roman" w:hAnsi="Times New Roman" w:cs="Times New Roman"/>
          <w:smallCaps/>
          <w:sz w:val="24"/>
          <w:szCs w:val="24"/>
        </w:rPr>
        <w:t>L’</w:t>
      </w:r>
      <w:r w:rsidR="00A94347">
        <w:rPr>
          <w:rFonts w:ascii="Times New Roman" w:hAnsi="Times New Roman" w:cs="Times New Roman"/>
          <w:sz w:val="24"/>
          <w:szCs w:val="24"/>
        </w:rPr>
        <w:t xml:space="preserve">approccio casistico che lo studioso di giustizia penale internazionale deve mantenere nell’approfondire i tratti più </w:t>
      </w:r>
      <w:r w:rsidR="00517831">
        <w:rPr>
          <w:rFonts w:ascii="Times New Roman" w:hAnsi="Times New Roman" w:cs="Times New Roman"/>
          <w:sz w:val="24"/>
          <w:szCs w:val="24"/>
        </w:rPr>
        <w:t>peculiari</w:t>
      </w:r>
      <w:r w:rsidR="00A94347">
        <w:rPr>
          <w:rFonts w:ascii="Times New Roman" w:hAnsi="Times New Roman" w:cs="Times New Roman"/>
          <w:sz w:val="24"/>
          <w:szCs w:val="24"/>
        </w:rPr>
        <w:t xml:space="preserve"> della materia impone di procedere mediante il riferimento a casi esemplari, onde ricostruire l’</w:t>
      </w:r>
      <w:r w:rsidR="00A94347">
        <w:rPr>
          <w:rFonts w:ascii="Times New Roman" w:hAnsi="Times New Roman" w:cs="Times New Roman"/>
          <w:i/>
          <w:sz w:val="24"/>
          <w:szCs w:val="24"/>
        </w:rPr>
        <w:t>iter</w:t>
      </w:r>
      <w:r w:rsidR="00A94347">
        <w:rPr>
          <w:rFonts w:ascii="Times New Roman" w:hAnsi="Times New Roman" w:cs="Times New Roman"/>
          <w:sz w:val="24"/>
          <w:szCs w:val="24"/>
        </w:rPr>
        <w:t xml:space="preserve"> evolutivo di cui si diceva nel paragrafo precedente. D’altro canto, poiché le norme incriminatrici si riempiono di significato solo attraverso il richiamo a situazioni concrete – com’è, poi, tipico del percorso giurisprudenziale seguito dai giudici chiamati a pronunciarsi sui </w:t>
      </w:r>
      <w:r w:rsidR="00A94347">
        <w:rPr>
          <w:rFonts w:ascii="Times New Roman" w:hAnsi="Times New Roman" w:cs="Times New Roman"/>
          <w:i/>
          <w:sz w:val="24"/>
          <w:szCs w:val="24"/>
        </w:rPr>
        <w:t>core crimes</w:t>
      </w:r>
      <w:r w:rsidR="00A94347">
        <w:rPr>
          <w:rFonts w:ascii="Times New Roman" w:hAnsi="Times New Roman" w:cs="Times New Roman"/>
          <w:sz w:val="24"/>
          <w:szCs w:val="24"/>
        </w:rPr>
        <w:t xml:space="preserve"> –, </w:t>
      </w:r>
      <w:r w:rsidR="00A94347">
        <w:rPr>
          <w:rFonts w:ascii="Times New Roman" w:hAnsi="Times New Roman" w:cs="Times New Roman"/>
          <w:sz w:val="24"/>
          <w:szCs w:val="24"/>
        </w:rPr>
        <w:lastRenderedPageBreak/>
        <w:t>è necessario, per ciascuna sentenza che si richiamerà, ripercorrere dapprima i fatti che la hanno determinata.</w:t>
      </w:r>
    </w:p>
    <w:p w:rsidR="00A94347" w:rsidRDefault="00A94347" w:rsidP="004B65F2">
      <w:pPr>
        <w:spacing w:after="0"/>
        <w:jc w:val="both"/>
        <w:rPr>
          <w:rFonts w:ascii="Times New Roman" w:hAnsi="Times New Roman" w:cs="Times New Roman"/>
          <w:sz w:val="24"/>
          <w:szCs w:val="24"/>
        </w:rPr>
      </w:pPr>
      <w:r>
        <w:rPr>
          <w:rFonts w:ascii="Times New Roman" w:hAnsi="Times New Roman" w:cs="Times New Roman"/>
          <w:sz w:val="24"/>
          <w:szCs w:val="24"/>
        </w:rPr>
        <w:tab/>
      </w:r>
      <w:r w:rsidR="0074327A">
        <w:rPr>
          <w:rFonts w:ascii="Times New Roman" w:hAnsi="Times New Roman" w:cs="Times New Roman"/>
          <w:sz w:val="24"/>
          <w:szCs w:val="24"/>
        </w:rPr>
        <w:t xml:space="preserve">Si parta, dunque, dal caso </w:t>
      </w:r>
      <w:r w:rsidR="0074327A">
        <w:rPr>
          <w:rFonts w:ascii="Times New Roman" w:hAnsi="Times New Roman" w:cs="Times New Roman"/>
          <w:i/>
          <w:sz w:val="24"/>
          <w:szCs w:val="24"/>
        </w:rPr>
        <w:t>Kunarac e altri</w:t>
      </w:r>
      <w:r w:rsidR="0074327A">
        <w:rPr>
          <w:rStyle w:val="Rimandonotaapidipagina"/>
          <w:rFonts w:ascii="Times New Roman" w:hAnsi="Times New Roman" w:cs="Times New Roman"/>
          <w:sz w:val="24"/>
          <w:szCs w:val="24"/>
        </w:rPr>
        <w:footnoteReference w:id="12"/>
      </w:r>
      <w:r w:rsidR="0074327A">
        <w:rPr>
          <w:rFonts w:ascii="Times New Roman" w:hAnsi="Times New Roman" w:cs="Times New Roman"/>
          <w:sz w:val="24"/>
          <w:szCs w:val="24"/>
        </w:rPr>
        <w:t>, oggetto di attenzione del Tribunale per la ex Jugoslavia, dapprima in funzione di giudice di primo grado e poi quale corte dell’appello, tra il 1998 e il 2002</w:t>
      </w:r>
      <w:r w:rsidR="0074327A">
        <w:rPr>
          <w:rStyle w:val="Rimandonotaapidipagina"/>
          <w:rFonts w:ascii="Times New Roman" w:hAnsi="Times New Roman" w:cs="Times New Roman"/>
          <w:sz w:val="24"/>
          <w:szCs w:val="24"/>
        </w:rPr>
        <w:footnoteReference w:id="13"/>
      </w:r>
      <w:r w:rsidR="0074327A">
        <w:rPr>
          <w:rFonts w:ascii="Times New Roman" w:hAnsi="Times New Roman" w:cs="Times New Roman"/>
          <w:sz w:val="24"/>
          <w:szCs w:val="24"/>
        </w:rPr>
        <w:t>.</w:t>
      </w:r>
    </w:p>
    <w:p w:rsidR="0074327A" w:rsidRDefault="0074327A" w:rsidP="004B65F2">
      <w:pPr>
        <w:spacing w:after="0"/>
        <w:jc w:val="both"/>
        <w:rPr>
          <w:rFonts w:ascii="Times New Roman" w:hAnsi="Times New Roman" w:cs="Times New Roman"/>
          <w:sz w:val="24"/>
          <w:szCs w:val="24"/>
        </w:rPr>
      </w:pPr>
      <w:r>
        <w:rPr>
          <w:rFonts w:ascii="Times New Roman" w:hAnsi="Times New Roman" w:cs="Times New Roman"/>
          <w:sz w:val="24"/>
          <w:szCs w:val="24"/>
        </w:rPr>
        <w:tab/>
        <w:t>Lo scenario che sottende ai fatti esaminati dalla Corte è quello della guerra in Bosnia</w:t>
      </w:r>
      <w:r w:rsidR="00047DB9">
        <w:rPr>
          <w:rFonts w:ascii="Times New Roman" w:hAnsi="Times New Roman" w:cs="Times New Roman"/>
          <w:sz w:val="24"/>
          <w:szCs w:val="24"/>
        </w:rPr>
        <w:t xml:space="preserve">: i tre imputati, miliziani serbo-bosniaci, erano accusati di sistematici atti di stupro, occorsi, tra il 1992 e il 1993, ai danni di giovani donne musulmane, residenti nel piccolo centro di </w:t>
      </w:r>
      <w:r w:rsidR="002C0AD5">
        <w:rPr>
          <w:rFonts w:ascii="Times New Roman" w:hAnsi="Times New Roman" w:cs="Times New Roman"/>
          <w:sz w:val="24"/>
          <w:szCs w:val="24"/>
        </w:rPr>
        <w:t>Foča</w:t>
      </w:r>
      <w:r w:rsidR="00047DB9">
        <w:rPr>
          <w:rFonts w:ascii="Times New Roman" w:hAnsi="Times New Roman" w:cs="Times New Roman"/>
          <w:sz w:val="24"/>
          <w:szCs w:val="24"/>
        </w:rPr>
        <w:t xml:space="preserve">, a qualche decina di chilometri a sud-est di Sarajevo. Si trattava, più precisamente, di un piano finalizzato ad eliminare la maggioranza islamica residente nella zona, tant’è che, ad oggi, il villaggio ha cambiato nome – da </w:t>
      </w:r>
      <w:r w:rsidR="002C0AD5">
        <w:rPr>
          <w:rFonts w:ascii="Times New Roman" w:hAnsi="Times New Roman" w:cs="Times New Roman"/>
          <w:sz w:val="24"/>
          <w:szCs w:val="24"/>
        </w:rPr>
        <w:t>Foča</w:t>
      </w:r>
      <w:r w:rsidR="00047DB9">
        <w:rPr>
          <w:rFonts w:ascii="Times New Roman" w:hAnsi="Times New Roman" w:cs="Times New Roman"/>
          <w:sz w:val="24"/>
          <w:szCs w:val="24"/>
        </w:rPr>
        <w:t xml:space="preserve"> a Sbrinje, in lingua serba –, fa parte della Sprska Republika e conta una preponderante componente cristiana tra i suoi abitanti</w:t>
      </w:r>
      <w:r w:rsidR="00047DB9">
        <w:rPr>
          <w:rStyle w:val="Rimandonotaapidipagina"/>
          <w:rFonts w:ascii="Times New Roman" w:hAnsi="Times New Roman" w:cs="Times New Roman"/>
          <w:sz w:val="24"/>
          <w:szCs w:val="24"/>
        </w:rPr>
        <w:footnoteReference w:id="14"/>
      </w:r>
      <w:r w:rsidR="00047DB9">
        <w:rPr>
          <w:rFonts w:ascii="Times New Roman" w:hAnsi="Times New Roman" w:cs="Times New Roman"/>
          <w:sz w:val="24"/>
          <w:szCs w:val="24"/>
        </w:rPr>
        <w:t xml:space="preserve">. </w:t>
      </w:r>
    </w:p>
    <w:p w:rsidR="00047DB9" w:rsidRDefault="00047DB9" w:rsidP="004B65F2">
      <w:pPr>
        <w:spacing w:after="0"/>
        <w:jc w:val="both"/>
        <w:rPr>
          <w:rFonts w:ascii="Times New Roman" w:hAnsi="Times New Roman" w:cs="Times New Roman"/>
          <w:sz w:val="24"/>
          <w:szCs w:val="24"/>
        </w:rPr>
      </w:pPr>
      <w:r>
        <w:rPr>
          <w:rFonts w:ascii="Times New Roman" w:hAnsi="Times New Roman" w:cs="Times New Roman"/>
          <w:sz w:val="24"/>
          <w:szCs w:val="24"/>
        </w:rPr>
        <w:tab/>
      </w:r>
      <w:r w:rsidR="00776D83">
        <w:rPr>
          <w:rFonts w:ascii="Times New Roman" w:hAnsi="Times New Roman" w:cs="Times New Roman"/>
          <w:sz w:val="24"/>
          <w:szCs w:val="24"/>
        </w:rPr>
        <w:t xml:space="preserve">L’obiettivo dei carnefici è bene espresso nell’arringa introduttiva del </w:t>
      </w:r>
      <w:r w:rsidR="004F3B54">
        <w:rPr>
          <w:rFonts w:ascii="Times New Roman" w:hAnsi="Times New Roman" w:cs="Times New Roman"/>
          <w:i/>
          <w:sz w:val="24"/>
          <w:szCs w:val="24"/>
        </w:rPr>
        <w:t>Prosecutor</w:t>
      </w:r>
      <w:r w:rsidR="00776D83">
        <w:rPr>
          <w:rFonts w:ascii="Times New Roman" w:hAnsi="Times New Roman" w:cs="Times New Roman"/>
          <w:sz w:val="24"/>
          <w:szCs w:val="24"/>
        </w:rPr>
        <w:t>, che ricorda come spesso gli imputati spiegassero alle vittime, durante i rapporti sessuali, che avrebbero messo al mondo figli serbi e che nessuna avrebbe avuto la certezza su chi dei tre sarebbe stato il padre dei bambini</w:t>
      </w:r>
      <w:r w:rsidR="00776D83">
        <w:rPr>
          <w:rStyle w:val="Rimandonotaapidipagina"/>
          <w:rFonts w:ascii="Times New Roman" w:hAnsi="Times New Roman" w:cs="Times New Roman"/>
          <w:sz w:val="24"/>
          <w:szCs w:val="24"/>
        </w:rPr>
        <w:footnoteReference w:id="15"/>
      </w:r>
      <w:r w:rsidR="00776D83">
        <w:rPr>
          <w:rFonts w:ascii="Times New Roman" w:hAnsi="Times New Roman" w:cs="Times New Roman"/>
          <w:sz w:val="24"/>
          <w:szCs w:val="24"/>
        </w:rPr>
        <w:t>.</w:t>
      </w:r>
    </w:p>
    <w:p w:rsidR="00111DAB" w:rsidRDefault="00111DAB" w:rsidP="004B65F2">
      <w:pPr>
        <w:spacing w:after="0"/>
        <w:jc w:val="both"/>
        <w:rPr>
          <w:rFonts w:ascii="Times New Roman" w:hAnsi="Times New Roman" w:cs="Times New Roman"/>
          <w:sz w:val="24"/>
          <w:szCs w:val="24"/>
        </w:rPr>
      </w:pPr>
      <w:r>
        <w:rPr>
          <w:rFonts w:ascii="Times New Roman" w:hAnsi="Times New Roman" w:cs="Times New Roman"/>
          <w:sz w:val="24"/>
          <w:szCs w:val="24"/>
        </w:rPr>
        <w:tab/>
        <w:t>Dunque, stupro come presupposto di annientamento di un gruppo, stavolta religioso</w:t>
      </w:r>
      <w:r w:rsidR="0008210F">
        <w:rPr>
          <w:rStyle w:val="Rimandonotaapidipagina"/>
          <w:rFonts w:ascii="Times New Roman" w:hAnsi="Times New Roman" w:cs="Times New Roman"/>
          <w:sz w:val="24"/>
          <w:szCs w:val="24"/>
        </w:rPr>
        <w:footnoteReference w:id="16"/>
      </w:r>
      <w:r>
        <w:rPr>
          <w:rFonts w:ascii="Times New Roman" w:hAnsi="Times New Roman" w:cs="Times New Roman"/>
          <w:sz w:val="24"/>
          <w:szCs w:val="24"/>
        </w:rPr>
        <w:t xml:space="preserve">. La sentenza di primo grado si dilunga parecchio sul requisito del consenso della vittima quale elemento idoneo a scriminare il delitto, concepito secondo le categorie del diritto internazionale: in ciò si cita un’altra pronuncia del Tribunale per la ex Jugoslavia – quella che ha concluso il caso </w:t>
      </w:r>
      <w:r>
        <w:rPr>
          <w:rFonts w:ascii="Times New Roman" w:hAnsi="Times New Roman" w:cs="Times New Roman"/>
          <w:i/>
          <w:sz w:val="24"/>
          <w:szCs w:val="24"/>
        </w:rPr>
        <w:t>Furundžija</w:t>
      </w:r>
      <w:r w:rsidRPr="00111DAB">
        <w:rPr>
          <w:rStyle w:val="Rimandonotaapidipagina"/>
          <w:rFonts w:ascii="Times New Roman" w:hAnsi="Times New Roman" w:cs="Times New Roman"/>
          <w:sz w:val="24"/>
          <w:szCs w:val="24"/>
        </w:rPr>
        <w:footnoteReference w:id="17"/>
      </w:r>
      <w:r>
        <w:rPr>
          <w:rFonts w:ascii="Times New Roman" w:hAnsi="Times New Roman" w:cs="Times New Roman"/>
          <w:sz w:val="24"/>
          <w:szCs w:val="24"/>
        </w:rPr>
        <w:t xml:space="preserve"> – che, attraverso un esame di vari tra gli ordinamenti nazionali afferenti agli Stati che aderiscono alla Corte, esalta la posizione dell’offeso, ricordando come l’assenza di una sua volontà al rapporto sessuale</w:t>
      </w:r>
      <w:r w:rsidR="0008210F">
        <w:rPr>
          <w:rFonts w:ascii="Times New Roman" w:hAnsi="Times New Roman" w:cs="Times New Roman"/>
          <w:sz w:val="24"/>
          <w:szCs w:val="24"/>
        </w:rPr>
        <w:t xml:space="preserve"> – reso possibile, invece, da violenze o minacce</w:t>
      </w:r>
      <w:r w:rsidR="0092529E">
        <w:rPr>
          <w:rFonts w:ascii="Times New Roman" w:hAnsi="Times New Roman" w:cs="Times New Roman"/>
          <w:sz w:val="24"/>
          <w:szCs w:val="24"/>
        </w:rPr>
        <w:t xml:space="preserve"> su di lui</w:t>
      </w:r>
      <w:r w:rsidR="0008210F">
        <w:rPr>
          <w:rFonts w:ascii="Times New Roman" w:hAnsi="Times New Roman" w:cs="Times New Roman"/>
          <w:sz w:val="24"/>
          <w:szCs w:val="24"/>
        </w:rPr>
        <w:t xml:space="preserve"> perpetrate dall'agente</w:t>
      </w:r>
      <w:r w:rsidR="0092529E">
        <w:rPr>
          <w:rFonts w:ascii="Times New Roman" w:hAnsi="Times New Roman" w:cs="Times New Roman"/>
          <w:sz w:val="24"/>
          <w:szCs w:val="24"/>
        </w:rPr>
        <w:t xml:space="preserve"> </w:t>
      </w:r>
      <w:r w:rsidR="0008210F">
        <w:rPr>
          <w:rFonts w:ascii="Times New Roman" w:hAnsi="Times New Roman" w:cs="Times New Roman"/>
          <w:sz w:val="24"/>
          <w:szCs w:val="24"/>
        </w:rPr>
        <w:t>–</w:t>
      </w:r>
      <w:r>
        <w:rPr>
          <w:rFonts w:ascii="Times New Roman" w:hAnsi="Times New Roman" w:cs="Times New Roman"/>
          <w:sz w:val="24"/>
          <w:szCs w:val="24"/>
        </w:rPr>
        <w:t xml:space="preserve"> sia elemento costitutivo del reato, inteso come crimine contro l’umanità</w:t>
      </w:r>
      <w:r w:rsidR="0092529E">
        <w:rPr>
          <w:rStyle w:val="Rimandonotaapidipagina"/>
          <w:rFonts w:ascii="Times New Roman" w:hAnsi="Times New Roman" w:cs="Times New Roman"/>
          <w:sz w:val="24"/>
          <w:szCs w:val="24"/>
        </w:rPr>
        <w:footnoteReference w:id="18"/>
      </w:r>
      <w:r>
        <w:rPr>
          <w:rFonts w:ascii="Times New Roman" w:hAnsi="Times New Roman" w:cs="Times New Roman"/>
          <w:sz w:val="24"/>
          <w:szCs w:val="24"/>
        </w:rPr>
        <w:t>.</w:t>
      </w:r>
    </w:p>
    <w:p w:rsidR="00111DAB" w:rsidRDefault="0092529E" w:rsidP="004B65F2">
      <w:pPr>
        <w:spacing w:after="0"/>
        <w:jc w:val="both"/>
        <w:rPr>
          <w:rFonts w:ascii="Times New Roman" w:hAnsi="Times New Roman" w:cs="Times New Roman"/>
          <w:sz w:val="24"/>
          <w:szCs w:val="24"/>
        </w:rPr>
      </w:pPr>
      <w:r>
        <w:rPr>
          <w:rFonts w:ascii="Times New Roman" w:hAnsi="Times New Roman" w:cs="Times New Roman"/>
          <w:sz w:val="24"/>
          <w:szCs w:val="24"/>
        </w:rPr>
        <w:tab/>
        <w:t xml:space="preserve">La conclusione è forse </w:t>
      </w:r>
      <w:r w:rsidR="00111DAB">
        <w:rPr>
          <w:rFonts w:ascii="Times New Roman" w:hAnsi="Times New Roman" w:cs="Times New Roman"/>
          <w:sz w:val="24"/>
          <w:szCs w:val="24"/>
        </w:rPr>
        <w:t xml:space="preserve">semplicistica: accogliendola senza riserve, un processo come quello </w:t>
      </w:r>
      <w:r w:rsidR="001860D1">
        <w:rPr>
          <w:rFonts w:ascii="Times New Roman" w:hAnsi="Times New Roman" w:cs="Times New Roman"/>
          <w:sz w:val="24"/>
          <w:szCs w:val="24"/>
        </w:rPr>
        <w:t xml:space="preserve">ora in esame avrebbe dovuto concentrarsi in modo totale sull’indagine del </w:t>
      </w:r>
      <w:r w:rsidR="001860D1">
        <w:rPr>
          <w:rFonts w:ascii="Times New Roman" w:hAnsi="Times New Roman" w:cs="Times New Roman"/>
          <w:sz w:val="24"/>
          <w:szCs w:val="24"/>
        </w:rPr>
        <w:lastRenderedPageBreak/>
        <w:t>foro più intimo delle vittime, sentite come testimoni. E se ciò ha un senso in contesti che potremmo definire di ordinaria gestione delle questioni penali, non lo ha laddove sullo sfondo vi sia una serie di violenze, soprusi e prevaricazioni come accade ogniqualvolta abbia luogo un conflitto armato</w:t>
      </w:r>
      <w:r w:rsidR="001860D1">
        <w:rPr>
          <w:rStyle w:val="Rimandonotaapidipagina"/>
          <w:rFonts w:ascii="Times New Roman" w:hAnsi="Times New Roman" w:cs="Times New Roman"/>
          <w:sz w:val="24"/>
          <w:szCs w:val="24"/>
        </w:rPr>
        <w:footnoteReference w:id="19"/>
      </w:r>
      <w:r w:rsidR="001860D1">
        <w:rPr>
          <w:rFonts w:ascii="Times New Roman" w:hAnsi="Times New Roman" w:cs="Times New Roman"/>
          <w:sz w:val="24"/>
          <w:szCs w:val="24"/>
        </w:rPr>
        <w:t>: negare ciò significherebbe avallare la tesi della difesa degli imputati che, in appello, dichiaravano come nessuna tra le vittime aveva opposto resistenza ai rapporti sessuali con i miliziani, di talché non vi sarebbe stato reato. A confutare un siffatto argomento basta – ed è bastato – considerare il contesto: la forza</w:t>
      </w:r>
      <w:r>
        <w:rPr>
          <w:rStyle w:val="Rimandonotaapidipagina"/>
          <w:rFonts w:ascii="Times New Roman" w:hAnsi="Times New Roman" w:cs="Times New Roman"/>
          <w:sz w:val="24"/>
          <w:szCs w:val="24"/>
        </w:rPr>
        <w:footnoteReference w:id="20"/>
      </w:r>
      <w:r w:rsidR="001860D1">
        <w:rPr>
          <w:rFonts w:ascii="Times New Roman" w:hAnsi="Times New Roman" w:cs="Times New Roman"/>
          <w:sz w:val="24"/>
          <w:szCs w:val="24"/>
        </w:rPr>
        <w:t xml:space="preserve"> degli occupanti rispetto alla debolezza di giovani donne è sufficiente, già di per sé, ad annientarne ogni forma di volontà e, quindi, di opposizione allo stupro.</w:t>
      </w:r>
    </w:p>
    <w:p w:rsidR="001860D1" w:rsidRDefault="001860D1" w:rsidP="004B65F2">
      <w:pPr>
        <w:spacing w:after="0"/>
        <w:jc w:val="both"/>
        <w:rPr>
          <w:rFonts w:ascii="Times New Roman" w:hAnsi="Times New Roman" w:cs="Times New Roman"/>
          <w:sz w:val="24"/>
          <w:szCs w:val="24"/>
        </w:rPr>
      </w:pPr>
      <w:r>
        <w:rPr>
          <w:rFonts w:ascii="Times New Roman" w:hAnsi="Times New Roman" w:cs="Times New Roman"/>
          <w:sz w:val="24"/>
          <w:szCs w:val="24"/>
        </w:rPr>
        <w:tab/>
      </w:r>
      <w:r w:rsidR="000354D3">
        <w:rPr>
          <w:rFonts w:ascii="Times New Roman" w:hAnsi="Times New Roman" w:cs="Times New Roman"/>
          <w:sz w:val="24"/>
          <w:szCs w:val="24"/>
        </w:rPr>
        <w:t xml:space="preserve">Sia in primo grado che in secondo, la Corte non indaga più di tanto sulle modalità aggressive, limitandosi a ritenere rilevante – anche mediante la presenza di esperti, chiamati a confrontare la geografia antropica dei luoghi, prima e dopo gli accadimenti di cui si tratta – la prova di un contesto di violenza e di coercizione, perfettamente idoneo a limitare la </w:t>
      </w:r>
      <w:r w:rsidR="000354D3">
        <w:rPr>
          <w:rFonts w:ascii="Times New Roman" w:hAnsi="Times New Roman" w:cs="Times New Roman"/>
          <w:i/>
          <w:sz w:val="24"/>
          <w:szCs w:val="24"/>
        </w:rPr>
        <w:t>sexual autonomy</w:t>
      </w:r>
      <w:r w:rsidR="000354D3">
        <w:rPr>
          <w:rFonts w:ascii="Times New Roman" w:hAnsi="Times New Roman" w:cs="Times New Roman"/>
          <w:sz w:val="24"/>
          <w:szCs w:val="24"/>
        </w:rPr>
        <w:t xml:space="preserve"> delle vittime.</w:t>
      </w:r>
    </w:p>
    <w:p w:rsidR="000354D3" w:rsidRDefault="000354D3" w:rsidP="004B65F2">
      <w:pPr>
        <w:spacing w:after="0"/>
        <w:jc w:val="both"/>
        <w:rPr>
          <w:rFonts w:ascii="Times New Roman" w:hAnsi="Times New Roman" w:cs="Times New Roman"/>
          <w:sz w:val="24"/>
          <w:szCs w:val="24"/>
        </w:rPr>
      </w:pPr>
      <w:r>
        <w:rPr>
          <w:rFonts w:ascii="Times New Roman" w:hAnsi="Times New Roman" w:cs="Times New Roman"/>
          <w:sz w:val="24"/>
          <w:szCs w:val="24"/>
        </w:rPr>
        <w:tab/>
        <w:t xml:space="preserve">Chiariti i riferimenti al fatto e all’inquadramento nei tipi criminali di competenza del Tribunale, va compreso in che modo il riferimento al caso </w:t>
      </w:r>
      <w:r>
        <w:rPr>
          <w:rFonts w:ascii="Times New Roman" w:hAnsi="Times New Roman" w:cs="Times New Roman"/>
          <w:i/>
          <w:sz w:val="24"/>
          <w:szCs w:val="24"/>
        </w:rPr>
        <w:t>Kunarac e altri</w:t>
      </w:r>
      <w:r>
        <w:rPr>
          <w:rFonts w:ascii="Times New Roman" w:hAnsi="Times New Roman" w:cs="Times New Roman"/>
          <w:sz w:val="24"/>
          <w:szCs w:val="24"/>
        </w:rPr>
        <w:t xml:space="preserve"> svela una tecnica di protezione della vittima nel processo, utile, in potenza, all’implementazione delle garanzie ad oggi previste dagli ordinamenti nazionali e dai diritti europei. </w:t>
      </w:r>
    </w:p>
    <w:p w:rsidR="00A46516" w:rsidRDefault="00A46516" w:rsidP="004B65F2">
      <w:pPr>
        <w:spacing w:after="0"/>
        <w:jc w:val="both"/>
        <w:rPr>
          <w:rFonts w:ascii="Times New Roman" w:hAnsi="Times New Roman" w:cs="Times New Roman"/>
          <w:sz w:val="24"/>
          <w:szCs w:val="24"/>
        </w:rPr>
      </w:pPr>
      <w:r>
        <w:rPr>
          <w:rFonts w:ascii="Times New Roman" w:hAnsi="Times New Roman" w:cs="Times New Roman"/>
          <w:sz w:val="24"/>
          <w:szCs w:val="24"/>
        </w:rPr>
        <w:tab/>
        <w:t>In prima battuta – e ricordando che, di fronte al Tribunale per la ex Jugoslavia, la vittima rileva soprattutto in quanto testimone – è bene ripercorrere l'</w:t>
      </w:r>
      <w:r>
        <w:rPr>
          <w:rFonts w:ascii="Times New Roman" w:hAnsi="Times New Roman" w:cs="Times New Roman"/>
          <w:i/>
          <w:sz w:val="24"/>
          <w:szCs w:val="24"/>
        </w:rPr>
        <w:t>iter</w:t>
      </w:r>
      <w:r>
        <w:rPr>
          <w:rFonts w:ascii="Times New Roman" w:hAnsi="Times New Roman" w:cs="Times New Roman"/>
          <w:sz w:val="24"/>
          <w:szCs w:val="24"/>
        </w:rPr>
        <w:t xml:space="preserve"> argomentativo, seguito dal </w:t>
      </w:r>
      <w:r>
        <w:rPr>
          <w:rFonts w:ascii="Times New Roman" w:hAnsi="Times New Roman" w:cs="Times New Roman"/>
          <w:i/>
          <w:sz w:val="24"/>
          <w:szCs w:val="24"/>
        </w:rPr>
        <w:t>Prosecutor</w:t>
      </w:r>
      <w:r>
        <w:rPr>
          <w:rFonts w:ascii="Times New Roman" w:hAnsi="Times New Roman" w:cs="Times New Roman"/>
          <w:sz w:val="24"/>
          <w:szCs w:val="24"/>
        </w:rPr>
        <w:t xml:space="preserve"> per accordare attendibilità alle donne che, presentatesi a giudizio, rendevano edotta la Corte delle violenze patite. </w:t>
      </w:r>
    </w:p>
    <w:p w:rsidR="00A46516" w:rsidRDefault="00A46516" w:rsidP="004B65F2">
      <w:pPr>
        <w:spacing w:after="0"/>
        <w:jc w:val="both"/>
        <w:rPr>
          <w:rFonts w:ascii="Times New Roman" w:hAnsi="Times New Roman" w:cs="Times New Roman"/>
          <w:sz w:val="24"/>
          <w:szCs w:val="24"/>
        </w:rPr>
      </w:pPr>
      <w:r>
        <w:rPr>
          <w:rFonts w:ascii="Times New Roman" w:hAnsi="Times New Roman" w:cs="Times New Roman"/>
          <w:sz w:val="24"/>
          <w:szCs w:val="24"/>
        </w:rPr>
        <w:tab/>
        <w:t>Esaminando il verbale del processo, nella parte dell'arringa introduttiva del</w:t>
      </w:r>
      <w:r>
        <w:rPr>
          <w:rFonts w:ascii="Times New Roman" w:hAnsi="Times New Roman" w:cs="Times New Roman"/>
          <w:i/>
          <w:sz w:val="24"/>
          <w:szCs w:val="24"/>
        </w:rPr>
        <w:t xml:space="preserve"> </w:t>
      </w:r>
      <w:r w:rsidRPr="00A46516">
        <w:rPr>
          <w:rFonts w:ascii="Times New Roman" w:hAnsi="Times New Roman" w:cs="Times New Roman"/>
          <w:i/>
          <w:sz w:val="24"/>
          <w:szCs w:val="24"/>
        </w:rPr>
        <w:t>Prosecutor</w:t>
      </w:r>
      <w:r>
        <w:rPr>
          <w:rStyle w:val="Rimandonotaapidipagina"/>
          <w:rFonts w:ascii="Times New Roman" w:hAnsi="Times New Roman" w:cs="Times New Roman"/>
          <w:sz w:val="24"/>
          <w:szCs w:val="24"/>
        </w:rPr>
        <w:footnoteReference w:id="21"/>
      </w:r>
      <w:r>
        <w:rPr>
          <w:rFonts w:ascii="Times New Roman" w:hAnsi="Times New Roman" w:cs="Times New Roman"/>
          <w:sz w:val="24"/>
          <w:szCs w:val="24"/>
        </w:rPr>
        <w:t xml:space="preserve">, questi classifica i testimoni in base al loro rapporto con il delitto, evincendo, per ciascuno dei gruppi individuati, specifiche regole di credibilità. </w:t>
      </w:r>
    </w:p>
    <w:p w:rsidR="00A46516" w:rsidRDefault="00A46516" w:rsidP="004B65F2">
      <w:pPr>
        <w:spacing w:after="0"/>
        <w:jc w:val="both"/>
        <w:rPr>
          <w:rFonts w:ascii="Times New Roman" w:hAnsi="Times New Roman" w:cs="Times New Roman"/>
          <w:sz w:val="24"/>
          <w:szCs w:val="24"/>
        </w:rPr>
      </w:pPr>
      <w:r>
        <w:rPr>
          <w:rFonts w:ascii="Times New Roman" w:hAnsi="Times New Roman" w:cs="Times New Roman"/>
          <w:sz w:val="24"/>
          <w:szCs w:val="24"/>
        </w:rPr>
        <w:tab/>
        <w:t>La prima categoria – dice l'accusa – è quella di chi non conosceva l'accusato prima della commissione del reato, pur, però, avendolo potuto osservare per un considerevole lasso temporale, allorché i crimini avevano luogo. Il caso è quello di uno dei tre imputati, Kovac, che</w:t>
      </w:r>
      <w:r w:rsidR="003B1779">
        <w:rPr>
          <w:rFonts w:ascii="Times New Roman" w:hAnsi="Times New Roman" w:cs="Times New Roman"/>
          <w:sz w:val="24"/>
          <w:szCs w:val="24"/>
        </w:rPr>
        <w:t xml:space="preserve">, tra le altre cose, si occupava della guardia di due tra le vittime, rinchiuse nel luogo conosciuto come </w:t>
      </w:r>
      <w:r w:rsidR="003B1779" w:rsidRPr="00EF0629">
        <w:rPr>
          <w:rFonts w:ascii="Times New Roman" w:hAnsi="Times New Roman" w:cs="Times New Roman"/>
          <w:i/>
          <w:sz w:val="24"/>
          <w:szCs w:val="24"/>
        </w:rPr>
        <w:t>Klanfa's Apartment</w:t>
      </w:r>
      <w:r w:rsidR="003B1779">
        <w:rPr>
          <w:rFonts w:ascii="Times New Roman" w:hAnsi="Times New Roman" w:cs="Times New Roman"/>
          <w:sz w:val="24"/>
          <w:szCs w:val="24"/>
        </w:rPr>
        <w:t xml:space="preserve">: in una situazione del genere la credibilità del teste è indiscussa, visto il suo stretto e prolungato rapporto con l'imputato. </w:t>
      </w:r>
    </w:p>
    <w:p w:rsidR="003B1779" w:rsidRDefault="003B1779" w:rsidP="004B65F2">
      <w:pPr>
        <w:spacing w:after="0"/>
        <w:jc w:val="both"/>
        <w:rPr>
          <w:rFonts w:ascii="Times New Roman" w:hAnsi="Times New Roman" w:cs="Times New Roman"/>
          <w:sz w:val="24"/>
          <w:szCs w:val="24"/>
        </w:rPr>
      </w:pPr>
      <w:r>
        <w:rPr>
          <w:rFonts w:ascii="Times New Roman" w:hAnsi="Times New Roman" w:cs="Times New Roman"/>
          <w:sz w:val="24"/>
          <w:szCs w:val="24"/>
        </w:rPr>
        <w:tab/>
        <w:t xml:space="preserve">La seconda delle categorie individuate dal </w:t>
      </w:r>
      <w:r>
        <w:rPr>
          <w:rFonts w:ascii="Times New Roman" w:hAnsi="Times New Roman" w:cs="Times New Roman"/>
          <w:i/>
          <w:sz w:val="24"/>
          <w:szCs w:val="24"/>
        </w:rPr>
        <w:t>Prosecutor</w:t>
      </w:r>
      <w:r>
        <w:rPr>
          <w:rFonts w:ascii="Times New Roman" w:hAnsi="Times New Roman" w:cs="Times New Roman"/>
          <w:sz w:val="24"/>
          <w:szCs w:val="24"/>
        </w:rPr>
        <w:t xml:space="preserve"> è quella di chi già conosceva l'imputato prima del fatto: tanto basta a ritenere attendibili le parole del teste, </w:t>
      </w:r>
      <w:r>
        <w:rPr>
          <w:rFonts w:ascii="Times New Roman" w:hAnsi="Times New Roman" w:cs="Times New Roman"/>
          <w:sz w:val="24"/>
          <w:szCs w:val="24"/>
        </w:rPr>
        <w:lastRenderedPageBreak/>
        <w:t>stante l'esistenza di un suo pregresso rapporto con l'accusato, che ne consente</w:t>
      </w:r>
      <w:r w:rsidR="00EF0629">
        <w:rPr>
          <w:rFonts w:ascii="Times New Roman" w:hAnsi="Times New Roman" w:cs="Times New Roman"/>
          <w:sz w:val="24"/>
          <w:szCs w:val="24"/>
        </w:rPr>
        <w:t>,</w:t>
      </w:r>
      <w:r>
        <w:rPr>
          <w:rFonts w:ascii="Times New Roman" w:hAnsi="Times New Roman" w:cs="Times New Roman"/>
          <w:sz w:val="24"/>
          <w:szCs w:val="24"/>
        </w:rPr>
        <w:t xml:space="preserve"> con scarsissimo margine di dubbio</w:t>
      </w:r>
      <w:r w:rsidR="00EF0629">
        <w:rPr>
          <w:rFonts w:ascii="Times New Roman" w:hAnsi="Times New Roman" w:cs="Times New Roman"/>
          <w:sz w:val="24"/>
          <w:szCs w:val="24"/>
        </w:rPr>
        <w:t>,</w:t>
      </w:r>
      <w:r>
        <w:rPr>
          <w:rFonts w:ascii="Times New Roman" w:hAnsi="Times New Roman" w:cs="Times New Roman"/>
          <w:sz w:val="24"/>
          <w:szCs w:val="24"/>
        </w:rPr>
        <w:t xml:space="preserve"> l'identificazione.</w:t>
      </w:r>
    </w:p>
    <w:p w:rsidR="003B1779" w:rsidRDefault="003B1779" w:rsidP="004B65F2">
      <w:pPr>
        <w:spacing w:after="0"/>
        <w:jc w:val="both"/>
        <w:rPr>
          <w:rFonts w:ascii="Times New Roman" w:hAnsi="Times New Roman" w:cs="Times New Roman"/>
          <w:sz w:val="24"/>
          <w:szCs w:val="24"/>
        </w:rPr>
      </w:pPr>
      <w:r>
        <w:rPr>
          <w:rFonts w:ascii="Times New Roman" w:hAnsi="Times New Roman" w:cs="Times New Roman"/>
          <w:sz w:val="24"/>
          <w:szCs w:val="24"/>
        </w:rPr>
        <w:tab/>
        <w:t xml:space="preserve">Esiste, infine, un terzo gruppo di testimoni: si tratta di persone che non conoscevano l'imputato prima del fatto e che lo hanno visto una sola volta </w:t>
      </w:r>
      <w:r w:rsidR="00B904BB">
        <w:rPr>
          <w:rFonts w:ascii="Times New Roman" w:hAnsi="Times New Roman" w:cs="Times New Roman"/>
          <w:sz w:val="24"/>
          <w:szCs w:val="24"/>
        </w:rPr>
        <w:t xml:space="preserve">nel periodo di commissione dei crimini. Il vaglio dei </w:t>
      </w:r>
      <w:r w:rsidR="00B904BB">
        <w:rPr>
          <w:rFonts w:ascii="Times New Roman" w:hAnsi="Times New Roman" w:cs="Times New Roman"/>
          <w:i/>
          <w:sz w:val="24"/>
          <w:szCs w:val="24"/>
        </w:rPr>
        <w:t>dicta</w:t>
      </w:r>
      <w:r w:rsidR="00B904BB">
        <w:rPr>
          <w:rFonts w:ascii="Times New Roman" w:hAnsi="Times New Roman" w:cs="Times New Roman"/>
          <w:sz w:val="24"/>
          <w:szCs w:val="24"/>
        </w:rPr>
        <w:t xml:space="preserve"> di costoro va compiuto tenendo conto del complesso delle altre prove raccolte in giudizio: l'esistenza di riscontri esterni permette, cioè, alla Corte di avere </w:t>
      </w:r>
      <w:r w:rsidR="00BC2697">
        <w:rPr>
          <w:rFonts w:ascii="Times New Roman" w:hAnsi="Times New Roman" w:cs="Times New Roman"/>
          <w:sz w:val="24"/>
          <w:szCs w:val="24"/>
        </w:rPr>
        <w:t>elementi a supporto della</w:t>
      </w:r>
      <w:r w:rsidR="00B904BB">
        <w:rPr>
          <w:rFonts w:ascii="Times New Roman" w:hAnsi="Times New Roman" w:cs="Times New Roman"/>
          <w:sz w:val="24"/>
          <w:szCs w:val="24"/>
        </w:rPr>
        <w:t xml:space="preserve"> versione offerta dai testi. </w:t>
      </w:r>
    </w:p>
    <w:p w:rsidR="00B904BB" w:rsidRDefault="00B904BB" w:rsidP="004B65F2">
      <w:pPr>
        <w:spacing w:after="0"/>
        <w:jc w:val="both"/>
        <w:rPr>
          <w:rFonts w:ascii="Times New Roman" w:hAnsi="Times New Roman" w:cs="Times New Roman"/>
          <w:sz w:val="24"/>
          <w:szCs w:val="24"/>
        </w:rPr>
      </w:pPr>
      <w:r>
        <w:rPr>
          <w:rFonts w:ascii="Times New Roman" w:hAnsi="Times New Roman" w:cs="Times New Roman"/>
          <w:sz w:val="24"/>
          <w:szCs w:val="24"/>
        </w:rPr>
        <w:tab/>
        <w:t xml:space="preserve">Alla premessa di metodo, il </w:t>
      </w:r>
      <w:r>
        <w:rPr>
          <w:rFonts w:ascii="Times New Roman" w:hAnsi="Times New Roman" w:cs="Times New Roman"/>
          <w:i/>
          <w:sz w:val="24"/>
          <w:szCs w:val="24"/>
        </w:rPr>
        <w:t>Prosecutor</w:t>
      </w:r>
      <w:r>
        <w:rPr>
          <w:rFonts w:ascii="Times New Roman" w:hAnsi="Times New Roman" w:cs="Times New Roman"/>
          <w:sz w:val="24"/>
          <w:szCs w:val="24"/>
        </w:rPr>
        <w:t xml:space="preserve"> affianca alcune valutazioni di contorno, riferibili al tipo di reato per cui si procede. Anzitutto, riprendendo quanto già affermato in </w:t>
      </w:r>
      <w:r>
        <w:rPr>
          <w:rFonts w:ascii="Times New Roman" w:hAnsi="Times New Roman" w:cs="Times New Roman"/>
          <w:i/>
          <w:sz w:val="24"/>
          <w:szCs w:val="24"/>
        </w:rPr>
        <w:t>Furundžija</w:t>
      </w:r>
      <w:r>
        <w:rPr>
          <w:rFonts w:ascii="Times New Roman" w:hAnsi="Times New Roman" w:cs="Times New Roman"/>
          <w:sz w:val="24"/>
          <w:szCs w:val="24"/>
        </w:rPr>
        <w:t xml:space="preserve">, si sottolinea come le vittime di stupro siano senz'altro emotivamente fragili, ma tanto di per sé non basta a riconoscerle come inaffidabili. Esistono, infatti, dei fattori che vanno considerati: </w:t>
      </w:r>
      <w:r>
        <w:rPr>
          <w:rFonts w:ascii="Times New Roman" w:hAnsi="Times New Roman" w:cs="Times New Roman"/>
          <w:i/>
          <w:sz w:val="24"/>
          <w:szCs w:val="24"/>
        </w:rPr>
        <w:t>a)</w:t>
      </w:r>
      <w:r>
        <w:rPr>
          <w:rFonts w:ascii="Times New Roman" w:hAnsi="Times New Roman" w:cs="Times New Roman"/>
          <w:sz w:val="24"/>
          <w:szCs w:val="24"/>
        </w:rPr>
        <w:t xml:space="preserve"> la somiglianza nei racconti delle vittime, vista la sistematicità nella condotta degli imputati; </w:t>
      </w:r>
      <w:r>
        <w:rPr>
          <w:rFonts w:ascii="Times New Roman" w:hAnsi="Times New Roman" w:cs="Times New Roman"/>
          <w:i/>
          <w:sz w:val="24"/>
          <w:szCs w:val="24"/>
        </w:rPr>
        <w:t>b)</w:t>
      </w:r>
      <w:r>
        <w:rPr>
          <w:rFonts w:ascii="Times New Roman" w:hAnsi="Times New Roman" w:cs="Times New Roman"/>
          <w:sz w:val="24"/>
          <w:szCs w:val="24"/>
        </w:rPr>
        <w:t xml:space="preserve"> </w:t>
      </w:r>
      <w:r w:rsidR="00971352">
        <w:rPr>
          <w:rFonts w:ascii="Times New Roman" w:hAnsi="Times New Roman" w:cs="Times New Roman"/>
          <w:sz w:val="24"/>
          <w:szCs w:val="24"/>
        </w:rPr>
        <w:t xml:space="preserve">la frequenza delle denunce in uno stesso – o almeno ravvicinato – periodo temporale e in un medesimo luogo; </w:t>
      </w:r>
      <w:r w:rsidR="00971352">
        <w:rPr>
          <w:rFonts w:ascii="Times New Roman" w:hAnsi="Times New Roman" w:cs="Times New Roman"/>
          <w:i/>
          <w:sz w:val="24"/>
          <w:szCs w:val="24"/>
        </w:rPr>
        <w:t>c)</w:t>
      </w:r>
      <w:r w:rsidR="00971352">
        <w:rPr>
          <w:rFonts w:ascii="Times New Roman" w:hAnsi="Times New Roman" w:cs="Times New Roman"/>
          <w:sz w:val="24"/>
          <w:szCs w:val="24"/>
        </w:rPr>
        <w:t xml:space="preserve"> il fatto che, diversamente dal reato domestico, gli stupri qui avvenissero pubblicamente, di talché molte delle vittime </w:t>
      </w:r>
      <w:r w:rsidR="00EF0629">
        <w:rPr>
          <w:rFonts w:ascii="Times New Roman" w:hAnsi="Times New Roman" w:cs="Times New Roman"/>
          <w:sz w:val="24"/>
          <w:szCs w:val="24"/>
        </w:rPr>
        <w:t>avrebbero potuto</w:t>
      </w:r>
      <w:r w:rsidR="00971352">
        <w:rPr>
          <w:rFonts w:ascii="Times New Roman" w:hAnsi="Times New Roman" w:cs="Times New Roman"/>
          <w:sz w:val="24"/>
          <w:szCs w:val="24"/>
        </w:rPr>
        <w:t xml:space="preserve"> testimoniare sia su quanto esse stesse hanno patito, sia sulle violenze subite da altre. </w:t>
      </w:r>
    </w:p>
    <w:p w:rsidR="00971352" w:rsidRDefault="00971352" w:rsidP="004B65F2">
      <w:pPr>
        <w:spacing w:after="0"/>
        <w:jc w:val="both"/>
        <w:rPr>
          <w:rFonts w:ascii="Times New Roman" w:hAnsi="Times New Roman" w:cs="Times New Roman"/>
          <w:sz w:val="24"/>
          <w:szCs w:val="24"/>
        </w:rPr>
      </w:pPr>
      <w:r>
        <w:rPr>
          <w:rFonts w:ascii="Times New Roman" w:hAnsi="Times New Roman" w:cs="Times New Roman"/>
          <w:sz w:val="24"/>
          <w:szCs w:val="24"/>
        </w:rPr>
        <w:tab/>
        <w:t xml:space="preserve">In ragione di ciò, la pubblica accusa articola le proprie richieste istruttorie in otto tipologie di prova, così da ottenere riscontro </w:t>
      </w:r>
      <w:r w:rsidR="005D52A7">
        <w:rPr>
          <w:rFonts w:ascii="Times New Roman" w:hAnsi="Times New Roman" w:cs="Times New Roman"/>
          <w:sz w:val="24"/>
          <w:szCs w:val="24"/>
        </w:rPr>
        <w:t xml:space="preserve">ai </w:t>
      </w:r>
      <w:r w:rsidR="005D52A7">
        <w:rPr>
          <w:rFonts w:ascii="Times New Roman" w:hAnsi="Times New Roman" w:cs="Times New Roman"/>
          <w:i/>
          <w:sz w:val="24"/>
          <w:szCs w:val="24"/>
        </w:rPr>
        <w:t>dicta</w:t>
      </w:r>
      <w:r w:rsidR="005D52A7">
        <w:rPr>
          <w:rFonts w:ascii="Times New Roman" w:hAnsi="Times New Roman" w:cs="Times New Roman"/>
          <w:sz w:val="24"/>
          <w:szCs w:val="24"/>
        </w:rPr>
        <w:t xml:space="preserve"> della vittima: </w:t>
      </w:r>
      <w:r w:rsidR="005D52A7">
        <w:rPr>
          <w:rFonts w:ascii="Times New Roman" w:hAnsi="Times New Roman" w:cs="Times New Roman"/>
          <w:i/>
          <w:sz w:val="24"/>
          <w:szCs w:val="24"/>
        </w:rPr>
        <w:t>a)</w:t>
      </w:r>
      <w:r w:rsidR="005D52A7">
        <w:rPr>
          <w:rFonts w:ascii="Times New Roman" w:hAnsi="Times New Roman" w:cs="Times New Roman"/>
          <w:sz w:val="24"/>
          <w:szCs w:val="24"/>
        </w:rPr>
        <w:t xml:space="preserve"> l'identificazione diretta degli imputati da parte di quanti affermano di avere subito o assistito a violenze; </w:t>
      </w:r>
      <w:r w:rsidR="005D52A7">
        <w:rPr>
          <w:rFonts w:ascii="Times New Roman" w:hAnsi="Times New Roman" w:cs="Times New Roman"/>
          <w:i/>
          <w:sz w:val="24"/>
          <w:szCs w:val="24"/>
        </w:rPr>
        <w:t>b)</w:t>
      </w:r>
      <w:r w:rsidR="005D52A7">
        <w:rPr>
          <w:rFonts w:ascii="Times New Roman" w:hAnsi="Times New Roman" w:cs="Times New Roman"/>
          <w:sz w:val="24"/>
          <w:szCs w:val="24"/>
        </w:rPr>
        <w:t xml:space="preserve"> l'identificazione diretta degli imputati da parte di testimoni che li hanno visti portare via le vittime; </w:t>
      </w:r>
      <w:r w:rsidR="005D52A7">
        <w:rPr>
          <w:rFonts w:ascii="Times New Roman" w:hAnsi="Times New Roman" w:cs="Times New Roman"/>
          <w:i/>
          <w:sz w:val="24"/>
          <w:szCs w:val="24"/>
        </w:rPr>
        <w:t>c)</w:t>
      </w:r>
      <w:r w:rsidR="005D52A7">
        <w:rPr>
          <w:rFonts w:ascii="Times New Roman" w:hAnsi="Times New Roman" w:cs="Times New Roman"/>
          <w:sz w:val="24"/>
          <w:szCs w:val="24"/>
        </w:rPr>
        <w:t xml:space="preserve"> l'identificazione degli imputati da parte dei testimoni a cui </w:t>
      </w:r>
      <w:r w:rsidR="005D52A7">
        <w:rPr>
          <w:rFonts w:ascii="Times New Roman" w:hAnsi="Times New Roman" w:cs="Times New Roman"/>
          <w:i/>
          <w:sz w:val="24"/>
          <w:szCs w:val="24"/>
        </w:rPr>
        <w:t>Zaga</w:t>
      </w:r>
      <w:r w:rsidR="005D52A7">
        <w:rPr>
          <w:rFonts w:ascii="Times New Roman" w:hAnsi="Times New Roman" w:cs="Times New Roman"/>
          <w:sz w:val="24"/>
          <w:szCs w:val="24"/>
        </w:rPr>
        <w:t xml:space="preserve"> – uno degli pseudonimi di Kunarac – è stato indicato; </w:t>
      </w:r>
      <w:r w:rsidR="005D52A7">
        <w:rPr>
          <w:rFonts w:ascii="Times New Roman" w:hAnsi="Times New Roman" w:cs="Times New Roman"/>
          <w:i/>
          <w:sz w:val="24"/>
          <w:szCs w:val="24"/>
        </w:rPr>
        <w:t>d)</w:t>
      </w:r>
      <w:r w:rsidR="005D52A7">
        <w:rPr>
          <w:rFonts w:ascii="Times New Roman" w:hAnsi="Times New Roman" w:cs="Times New Roman"/>
          <w:sz w:val="24"/>
          <w:szCs w:val="24"/>
        </w:rPr>
        <w:t xml:space="preserve"> l'identificazione degli imputati da parte di testimoni che non conoscevano i loro nomi</w:t>
      </w:r>
      <w:r w:rsidR="00EF0629">
        <w:rPr>
          <w:rFonts w:ascii="Times New Roman" w:hAnsi="Times New Roman" w:cs="Times New Roman"/>
          <w:sz w:val="24"/>
          <w:szCs w:val="24"/>
        </w:rPr>
        <w:t>,</w:t>
      </w:r>
      <w:r w:rsidR="005D52A7">
        <w:rPr>
          <w:rFonts w:ascii="Times New Roman" w:hAnsi="Times New Roman" w:cs="Times New Roman"/>
          <w:sz w:val="24"/>
          <w:szCs w:val="24"/>
        </w:rPr>
        <w:t xml:space="preserve"> ma che sapevano comunque che cosa stava accadendo nella zona di </w:t>
      </w:r>
      <w:r w:rsidR="002C0AD5">
        <w:rPr>
          <w:rFonts w:ascii="Times New Roman" w:hAnsi="Times New Roman" w:cs="Times New Roman"/>
          <w:sz w:val="24"/>
          <w:szCs w:val="24"/>
        </w:rPr>
        <w:t>Foča</w:t>
      </w:r>
      <w:r w:rsidR="005D52A7">
        <w:rPr>
          <w:rFonts w:ascii="Times New Roman" w:hAnsi="Times New Roman" w:cs="Times New Roman"/>
          <w:sz w:val="24"/>
          <w:szCs w:val="24"/>
        </w:rPr>
        <w:t xml:space="preserve">; </w:t>
      </w:r>
      <w:r w:rsidR="005D52A7">
        <w:rPr>
          <w:rFonts w:ascii="Times New Roman" w:hAnsi="Times New Roman" w:cs="Times New Roman"/>
          <w:i/>
          <w:sz w:val="24"/>
          <w:szCs w:val="24"/>
        </w:rPr>
        <w:t>e)</w:t>
      </w:r>
      <w:r w:rsidR="005D52A7">
        <w:rPr>
          <w:rFonts w:ascii="Times New Roman" w:hAnsi="Times New Roman" w:cs="Times New Roman"/>
          <w:sz w:val="24"/>
          <w:szCs w:val="24"/>
        </w:rPr>
        <w:t xml:space="preserve"> indizi, idonei a ricostruire i fatti per cui si procede mediante evenienze note e dimostrabili; </w:t>
      </w:r>
      <w:r w:rsidR="005D52A7">
        <w:rPr>
          <w:rFonts w:ascii="Times New Roman" w:hAnsi="Times New Roman" w:cs="Times New Roman"/>
          <w:i/>
          <w:sz w:val="24"/>
          <w:szCs w:val="24"/>
        </w:rPr>
        <w:t>f)</w:t>
      </w:r>
      <w:r w:rsidR="005D52A7">
        <w:rPr>
          <w:rFonts w:ascii="Times New Roman" w:hAnsi="Times New Roman" w:cs="Times New Roman"/>
          <w:sz w:val="24"/>
          <w:szCs w:val="24"/>
        </w:rPr>
        <w:t xml:space="preserve"> l'identificazione degli imputati da parte di testimoni che li conoscevano prima dello scoppio dell'ostilità; </w:t>
      </w:r>
      <w:r w:rsidR="005D52A7">
        <w:rPr>
          <w:rFonts w:ascii="Times New Roman" w:hAnsi="Times New Roman" w:cs="Times New Roman"/>
          <w:i/>
          <w:sz w:val="24"/>
          <w:szCs w:val="24"/>
        </w:rPr>
        <w:t>g)</w:t>
      </w:r>
      <w:r w:rsidR="005D52A7">
        <w:rPr>
          <w:rFonts w:ascii="Times New Roman" w:hAnsi="Times New Roman" w:cs="Times New Roman"/>
          <w:sz w:val="24"/>
          <w:szCs w:val="24"/>
        </w:rPr>
        <w:t xml:space="preserve"> l'analisi del modello di comportamento degli imputati; </w:t>
      </w:r>
      <w:r w:rsidR="005D52A7">
        <w:rPr>
          <w:rFonts w:ascii="Times New Roman" w:hAnsi="Times New Roman" w:cs="Times New Roman"/>
          <w:i/>
          <w:sz w:val="24"/>
          <w:szCs w:val="24"/>
        </w:rPr>
        <w:t>h)</w:t>
      </w:r>
      <w:r w:rsidR="005D52A7">
        <w:rPr>
          <w:rFonts w:ascii="Times New Roman" w:hAnsi="Times New Roman" w:cs="Times New Roman"/>
          <w:sz w:val="24"/>
          <w:szCs w:val="24"/>
        </w:rPr>
        <w:t xml:space="preserve"> l'esame degli imputati</w:t>
      </w:r>
      <w:r w:rsidR="005D52A7">
        <w:rPr>
          <w:rStyle w:val="Rimandonotaapidipagina"/>
          <w:rFonts w:ascii="Times New Roman" w:hAnsi="Times New Roman" w:cs="Times New Roman"/>
          <w:sz w:val="24"/>
          <w:szCs w:val="24"/>
        </w:rPr>
        <w:footnoteReference w:id="22"/>
      </w:r>
      <w:r w:rsidR="005D52A7">
        <w:rPr>
          <w:rFonts w:ascii="Times New Roman" w:hAnsi="Times New Roman" w:cs="Times New Roman"/>
          <w:sz w:val="24"/>
          <w:szCs w:val="24"/>
        </w:rPr>
        <w:t xml:space="preserve">. </w:t>
      </w:r>
    </w:p>
    <w:p w:rsidR="005D52A7" w:rsidRDefault="00E1713A" w:rsidP="004B65F2">
      <w:pPr>
        <w:spacing w:after="0"/>
        <w:jc w:val="both"/>
        <w:rPr>
          <w:rFonts w:ascii="Times New Roman" w:hAnsi="Times New Roman" w:cs="Times New Roman"/>
          <w:sz w:val="24"/>
          <w:szCs w:val="24"/>
        </w:rPr>
      </w:pPr>
      <w:r>
        <w:rPr>
          <w:rFonts w:ascii="Times New Roman" w:hAnsi="Times New Roman" w:cs="Times New Roman"/>
          <w:sz w:val="24"/>
          <w:szCs w:val="24"/>
        </w:rPr>
        <w:tab/>
      </w:r>
      <w:r w:rsidR="00F56CBE">
        <w:rPr>
          <w:rFonts w:ascii="Times New Roman" w:hAnsi="Times New Roman" w:cs="Times New Roman"/>
          <w:sz w:val="24"/>
          <w:szCs w:val="24"/>
        </w:rPr>
        <w:t xml:space="preserve">Insomma, la deposizione di ogni vittima è a supporto del proprio racconto e funge da riscontro esterno per il vaglio di credibilità delle altre. A mero titolo di esempio, può esaminarsi il racconto della </w:t>
      </w:r>
      <w:r w:rsidR="00F56CBE">
        <w:rPr>
          <w:rFonts w:ascii="Times New Roman" w:hAnsi="Times New Roman" w:cs="Times New Roman"/>
          <w:i/>
          <w:sz w:val="24"/>
          <w:szCs w:val="24"/>
        </w:rPr>
        <w:t>Testimone 50</w:t>
      </w:r>
      <w:r w:rsidR="00F56CBE">
        <w:rPr>
          <w:rFonts w:ascii="Times New Roman" w:hAnsi="Times New Roman" w:cs="Times New Roman"/>
          <w:sz w:val="24"/>
          <w:szCs w:val="24"/>
        </w:rPr>
        <w:t xml:space="preserve"> – individuata con un numero, per non svelarne le generalità, e ascoltata in forma protetta, per evitarne il contatto, anche visivo</w:t>
      </w:r>
      <w:r w:rsidR="00A77CE3">
        <w:rPr>
          <w:rFonts w:ascii="Times New Roman" w:hAnsi="Times New Roman" w:cs="Times New Roman"/>
          <w:sz w:val="24"/>
          <w:szCs w:val="24"/>
        </w:rPr>
        <w:t>,</w:t>
      </w:r>
      <w:r w:rsidR="00F56CBE">
        <w:rPr>
          <w:rFonts w:ascii="Times New Roman" w:hAnsi="Times New Roman" w:cs="Times New Roman"/>
          <w:sz w:val="24"/>
          <w:szCs w:val="24"/>
        </w:rPr>
        <w:t xml:space="preserve"> con gli accusati </w:t>
      </w:r>
      <w:r w:rsidR="006B1A6D">
        <w:rPr>
          <w:rFonts w:ascii="Times New Roman" w:hAnsi="Times New Roman" w:cs="Times New Roman"/>
          <w:sz w:val="24"/>
          <w:szCs w:val="24"/>
        </w:rPr>
        <w:t xml:space="preserve">e scongiurare, così, il pericolo di vittimizzazione secondaria </w:t>
      </w:r>
      <w:r w:rsidR="00F56CBE">
        <w:rPr>
          <w:rFonts w:ascii="Times New Roman" w:hAnsi="Times New Roman" w:cs="Times New Roman"/>
          <w:sz w:val="24"/>
          <w:szCs w:val="24"/>
        </w:rPr>
        <w:t>– alle udienze del 29 e 30 marzo 2000</w:t>
      </w:r>
      <w:r w:rsidR="00F56CBE">
        <w:rPr>
          <w:rStyle w:val="Rimandonotaapidipagina"/>
          <w:rFonts w:ascii="Times New Roman" w:hAnsi="Times New Roman" w:cs="Times New Roman"/>
          <w:sz w:val="24"/>
          <w:szCs w:val="24"/>
        </w:rPr>
        <w:footnoteReference w:id="23"/>
      </w:r>
      <w:r w:rsidR="00F56CBE">
        <w:rPr>
          <w:rFonts w:ascii="Times New Roman" w:hAnsi="Times New Roman" w:cs="Times New Roman"/>
          <w:sz w:val="24"/>
          <w:szCs w:val="24"/>
        </w:rPr>
        <w:t xml:space="preserve">. Alla domanda relativa al trasferimento dal suo villaggio al motel di </w:t>
      </w:r>
      <w:r w:rsidR="00F56CBE">
        <w:rPr>
          <w:rFonts w:ascii="Times New Roman" w:hAnsi="Times New Roman" w:cs="Times New Roman"/>
          <w:i/>
          <w:sz w:val="24"/>
          <w:szCs w:val="24"/>
        </w:rPr>
        <w:t>Buk Bijela</w:t>
      </w:r>
      <w:r w:rsidR="00F56CBE">
        <w:rPr>
          <w:rFonts w:ascii="Times New Roman" w:hAnsi="Times New Roman" w:cs="Times New Roman"/>
          <w:sz w:val="24"/>
          <w:szCs w:val="24"/>
        </w:rPr>
        <w:t xml:space="preserve">, allorché </w:t>
      </w:r>
      <w:r w:rsidR="00F827D1">
        <w:rPr>
          <w:rFonts w:ascii="Times New Roman" w:hAnsi="Times New Roman" w:cs="Times New Roman"/>
          <w:sz w:val="24"/>
          <w:szCs w:val="24"/>
        </w:rPr>
        <w:t xml:space="preserve">il </w:t>
      </w:r>
      <w:r w:rsidR="00F827D1">
        <w:rPr>
          <w:rFonts w:ascii="Times New Roman" w:hAnsi="Times New Roman" w:cs="Times New Roman"/>
          <w:i/>
          <w:sz w:val="24"/>
          <w:szCs w:val="24"/>
        </w:rPr>
        <w:t>Prosecutor</w:t>
      </w:r>
      <w:r w:rsidR="00F56CBE">
        <w:rPr>
          <w:rFonts w:ascii="Times New Roman" w:hAnsi="Times New Roman" w:cs="Times New Roman"/>
          <w:sz w:val="24"/>
          <w:szCs w:val="24"/>
        </w:rPr>
        <w:t xml:space="preserve"> le domanda: «</w:t>
      </w:r>
      <w:r w:rsidR="00F56CBE">
        <w:rPr>
          <w:rFonts w:ascii="Times New Roman" w:hAnsi="Times New Roman" w:cs="Times New Roman"/>
          <w:i/>
          <w:sz w:val="24"/>
          <w:szCs w:val="24"/>
        </w:rPr>
        <w:t>Where you taken in a group?</w:t>
      </w:r>
      <w:r w:rsidR="00F56CBE">
        <w:rPr>
          <w:rFonts w:ascii="Times New Roman" w:hAnsi="Times New Roman" w:cs="Times New Roman"/>
          <w:sz w:val="24"/>
          <w:szCs w:val="24"/>
        </w:rPr>
        <w:t xml:space="preserve">», la teste risponde in modo affermativo: da qui, il racconto degli stupri </w:t>
      </w:r>
      <w:r w:rsidR="00F827D1">
        <w:rPr>
          <w:rFonts w:ascii="Times New Roman" w:hAnsi="Times New Roman" w:cs="Times New Roman"/>
          <w:sz w:val="24"/>
          <w:szCs w:val="24"/>
        </w:rPr>
        <w:t xml:space="preserve">nell'albergo e nelle caserme, e la prigionia al liceo di </w:t>
      </w:r>
      <w:r w:rsidR="002C0AD5">
        <w:rPr>
          <w:rFonts w:ascii="Times New Roman" w:hAnsi="Times New Roman" w:cs="Times New Roman"/>
          <w:sz w:val="24"/>
          <w:szCs w:val="24"/>
        </w:rPr>
        <w:t>Foča</w:t>
      </w:r>
      <w:r w:rsidR="00F827D1">
        <w:rPr>
          <w:rFonts w:ascii="Times New Roman" w:hAnsi="Times New Roman" w:cs="Times New Roman"/>
          <w:sz w:val="24"/>
          <w:szCs w:val="24"/>
        </w:rPr>
        <w:t xml:space="preserve"> dimostra</w:t>
      </w:r>
      <w:r w:rsidR="00EF0629">
        <w:rPr>
          <w:rFonts w:ascii="Times New Roman" w:hAnsi="Times New Roman" w:cs="Times New Roman"/>
          <w:sz w:val="24"/>
          <w:szCs w:val="24"/>
        </w:rPr>
        <w:t>no</w:t>
      </w:r>
      <w:r w:rsidR="00F827D1">
        <w:rPr>
          <w:rFonts w:ascii="Times New Roman" w:hAnsi="Times New Roman" w:cs="Times New Roman"/>
          <w:sz w:val="24"/>
          <w:szCs w:val="24"/>
        </w:rPr>
        <w:t xml:space="preserve"> tanto i crimini patiti, quanto le violenze da altr</w:t>
      </w:r>
      <w:r w:rsidR="00A77CE3">
        <w:rPr>
          <w:rFonts w:ascii="Times New Roman" w:hAnsi="Times New Roman" w:cs="Times New Roman"/>
          <w:sz w:val="24"/>
          <w:szCs w:val="24"/>
        </w:rPr>
        <w:t>e</w:t>
      </w:r>
      <w:r w:rsidR="00F827D1">
        <w:rPr>
          <w:rFonts w:ascii="Times New Roman" w:hAnsi="Times New Roman" w:cs="Times New Roman"/>
          <w:sz w:val="24"/>
          <w:szCs w:val="24"/>
        </w:rPr>
        <w:t xml:space="preserve"> subite. </w:t>
      </w:r>
      <w:r w:rsidR="00F827D1" w:rsidRPr="002C0AD5">
        <w:rPr>
          <w:rFonts w:ascii="Times New Roman" w:hAnsi="Times New Roman" w:cs="Times New Roman"/>
          <w:sz w:val="24"/>
          <w:szCs w:val="24"/>
          <w:lang w:val="en-US"/>
        </w:rPr>
        <w:t xml:space="preserve">Si noti, infine, la tecnica impiegata nell'esame, tutta rivolta a saggiare l'attendibilità del teste: secondo lo schema tripartito poco più sopra esaminato, l'accusa domanda alla </w:t>
      </w:r>
      <w:r w:rsidR="00F827D1" w:rsidRPr="002C0AD5">
        <w:rPr>
          <w:rFonts w:ascii="Times New Roman" w:hAnsi="Times New Roman" w:cs="Times New Roman"/>
          <w:i/>
          <w:sz w:val="24"/>
          <w:szCs w:val="24"/>
          <w:lang w:val="en-US"/>
        </w:rPr>
        <w:t>Testimone 50</w:t>
      </w:r>
      <w:r w:rsidR="00EF0629" w:rsidRPr="002C0AD5">
        <w:rPr>
          <w:rFonts w:ascii="Times New Roman" w:hAnsi="Times New Roman" w:cs="Times New Roman"/>
          <w:sz w:val="24"/>
          <w:szCs w:val="24"/>
          <w:lang w:val="en-US"/>
        </w:rPr>
        <w:t>:</w:t>
      </w:r>
      <w:r w:rsidR="00F827D1" w:rsidRPr="002C0AD5">
        <w:rPr>
          <w:rFonts w:ascii="Times New Roman" w:hAnsi="Times New Roman" w:cs="Times New Roman"/>
          <w:sz w:val="24"/>
          <w:szCs w:val="24"/>
          <w:lang w:val="en-US"/>
        </w:rPr>
        <w:t xml:space="preserve"> «</w:t>
      </w:r>
      <w:r w:rsidR="00F827D1" w:rsidRPr="002C0AD5">
        <w:rPr>
          <w:rFonts w:ascii="Times New Roman" w:hAnsi="Times New Roman" w:cs="Times New Roman"/>
          <w:i/>
          <w:sz w:val="24"/>
          <w:szCs w:val="24"/>
          <w:lang w:val="en-US"/>
        </w:rPr>
        <w:t xml:space="preserve">Who </w:t>
      </w:r>
      <w:r w:rsidR="00F827D1" w:rsidRPr="002C0AD5">
        <w:rPr>
          <w:rFonts w:ascii="Times New Roman" w:hAnsi="Times New Roman" w:cs="Times New Roman"/>
          <w:i/>
          <w:sz w:val="24"/>
          <w:szCs w:val="24"/>
          <w:lang w:val="en-US"/>
        </w:rPr>
        <w:lastRenderedPageBreak/>
        <w:t>took you out?</w:t>
      </w:r>
      <w:r w:rsidR="00F827D1" w:rsidRPr="002C0AD5">
        <w:rPr>
          <w:rFonts w:ascii="Times New Roman" w:hAnsi="Times New Roman" w:cs="Times New Roman"/>
          <w:sz w:val="24"/>
          <w:szCs w:val="24"/>
          <w:lang w:val="en-US"/>
        </w:rPr>
        <w:t>», «</w:t>
      </w:r>
      <w:r w:rsidR="00F827D1" w:rsidRPr="002C0AD5">
        <w:rPr>
          <w:rFonts w:ascii="Times New Roman" w:hAnsi="Times New Roman" w:cs="Times New Roman"/>
          <w:i/>
          <w:sz w:val="24"/>
          <w:szCs w:val="24"/>
          <w:lang w:val="en-US"/>
        </w:rPr>
        <w:t>Did you know this man before the war?</w:t>
      </w:r>
      <w:r w:rsidR="00F827D1" w:rsidRPr="002C0AD5">
        <w:rPr>
          <w:rFonts w:ascii="Times New Roman" w:hAnsi="Times New Roman" w:cs="Times New Roman"/>
          <w:sz w:val="24"/>
          <w:szCs w:val="24"/>
          <w:lang w:val="en-US"/>
        </w:rPr>
        <w:t>», «</w:t>
      </w:r>
      <w:r w:rsidR="00F827D1" w:rsidRPr="002C0AD5">
        <w:rPr>
          <w:rFonts w:ascii="Times New Roman" w:hAnsi="Times New Roman" w:cs="Times New Roman"/>
          <w:i/>
          <w:sz w:val="24"/>
          <w:szCs w:val="24"/>
          <w:lang w:val="en-US"/>
        </w:rPr>
        <w:t>Did you know his name before the war?</w:t>
      </w:r>
      <w:r w:rsidR="00F827D1" w:rsidRPr="002C0AD5">
        <w:rPr>
          <w:rFonts w:ascii="Times New Roman" w:hAnsi="Times New Roman" w:cs="Times New Roman"/>
          <w:sz w:val="24"/>
          <w:szCs w:val="24"/>
          <w:lang w:val="en-US"/>
        </w:rPr>
        <w:t>», «</w:t>
      </w:r>
      <w:r w:rsidR="00F827D1" w:rsidRPr="002C0AD5">
        <w:rPr>
          <w:rFonts w:ascii="Times New Roman" w:hAnsi="Times New Roman" w:cs="Times New Roman"/>
          <w:i/>
          <w:sz w:val="24"/>
          <w:szCs w:val="24"/>
          <w:lang w:val="en-US"/>
        </w:rPr>
        <w:t>Did you learn his name during the war?</w:t>
      </w:r>
      <w:r w:rsidR="00F827D1" w:rsidRPr="002C0AD5">
        <w:rPr>
          <w:rFonts w:ascii="Times New Roman" w:hAnsi="Times New Roman" w:cs="Times New Roman"/>
          <w:sz w:val="24"/>
          <w:szCs w:val="24"/>
          <w:lang w:val="en-US"/>
        </w:rPr>
        <w:t>» e «</w:t>
      </w:r>
      <w:r w:rsidR="00F827D1" w:rsidRPr="002C0AD5">
        <w:rPr>
          <w:rFonts w:ascii="Times New Roman" w:hAnsi="Times New Roman" w:cs="Times New Roman"/>
          <w:i/>
          <w:sz w:val="24"/>
          <w:szCs w:val="24"/>
          <w:lang w:val="en-US"/>
        </w:rPr>
        <w:t>At the time that he took you out at Buk Bijela, did you know his name?</w:t>
      </w:r>
      <w:r w:rsidR="00F827D1" w:rsidRPr="002C0AD5">
        <w:rPr>
          <w:rFonts w:ascii="Times New Roman" w:hAnsi="Times New Roman" w:cs="Times New Roman"/>
          <w:sz w:val="24"/>
          <w:szCs w:val="24"/>
          <w:lang w:val="en-US"/>
        </w:rPr>
        <w:t xml:space="preserve">». </w:t>
      </w:r>
      <w:r w:rsidR="00F827D1">
        <w:rPr>
          <w:rFonts w:ascii="Times New Roman" w:hAnsi="Times New Roman" w:cs="Times New Roman"/>
          <w:sz w:val="24"/>
          <w:szCs w:val="24"/>
        </w:rPr>
        <w:t xml:space="preserve">Viene posta una sequela di domande, finalizzate a saggiare l'eventuale pre-conoscenza dell'imputato – qui, Vukovic – da parte della vittima, a comprendere il tipo di rapporto che </w:t>
      </w:r>
      <w:r w:rsidR="00EF0629">
        <w:rPr>
          <w:rFonts w:ascii="Times New Roman" w:hAnsi="Times New Roman" w:cs="Times New Roman"/>
          <w:sz w:val="24"/>
          <w:szCs w:val="24"/>
        </w:rPr>
        <w:t>tra loro sussisteva</w:t>
      </w:r>
      <w:r w:rsidR="00F827D1">
        <w:rPr>
          <w:rFonts w:ascii="Times New Roman" w:hAnsi="Times New Roman" w:cs="Times New Roman"/>
          <w:sz w:val="24"/>
          <w:szCs w:val="24"/>
        </w:rPr>
        <w:t xml:space="preserve"> prima della guerra e quello </w:t>
      </w:r>
      <w:r w:rsidR="00EF0629">
        <w:rPr>
          <w:rFonts w:ascii="Times New Roman" w:hAnsi="Times New Roman" w:cs="Times New Roman"/>
          <w:sz w:val="24"/>
          <w:szCs w:val="24"/>
        </w:rPr>
        <w:t>che si è, poi,</w:t>
      </w:r>
      <w:r w:rsidR="00F827D1">
        <w:rPr>
          <w:rFonts w:ascii="Times New Roman" w:hAnsi="Times New Roman" w:cs="Times New Roman"/>
          <w:sz w:val="24"/>
          <w:szCs w:val="24"/>
        </w:rPr>
        <w:t xml:space="preserve"> instaurato durante il conflitto. </w:t>
      </w:r>
    </w:p>
    <w:p w:rsidR="0003046E" w:rsidRPr="0003046E" w:rsidRDefault="00F827D1" w:rsidP="0003046E">
      <w:pPr>
        <w:spacing w:after="0"/>
        <w:jc w:val="both"/>
        <w:rPr>
          <w:rFonts w:ascii="Times New Roman" w:hAnsi="Times New Roman" w:cs="Times New Roman"/>
          <w:sz w:val="24"/>
          <w:szCs w:val="24"/>
        </w:rPr>
      </w:pPr>
      <w:r>
        <w:rPr>
          <w:rFonts w:ascii="Times New Roman" w:hAnsi="Times New Roman" w:cs="Times New Roman"/>
          <w:sz w:val="24"/>
          <w:szCs w:val="24"/>
        </w:rPr>
        <w:tab/>
        <w:t xml:space="preserve">L'esame della </w:t>
      </w:r>
      <w:r>
        <w:rPr>
          <w:rFonts w:ascii="Times New Roman" w:hAnsi="Times New Roman" w:cs="Times New Roman"/>
          <w:i/>
          <w:sz w:val="24"/>
          <w:szCs w:val="24"/>
        </w:rPr>
        <w:t>Testimone 50</w:t>
      </w:r>
      <w:r>
        <w:rPr>
          <w:rFonts w:ascii="Times New Roman" w:hAnsi="Times New Roman" w:cs="Times New Roman"/>
          <w:sz w:val="24"/>
          <w:szCs w:val="24"/>
        </w:rPr>
        <w:t xml:space="preserve"> è interessante anche sotto un altro profilo: sentita dagli </w:t>
      </w:r>
      <w:r w:rsidR="0003046E">
        <w:rPr>
          <w:rFonts w:ascii="Times New Roman" w:hAnsi="Times New Roman" w:cs="Times New Roman"/>
          <w:sz w:val="24"/>
          <w:szCs w:val="24"/>
        </w:rPr>
        <w:t xml:space="preserve">investigatori nel 1995, la donna sceglieva di non riferire quanto occorso a </w:t>
      </w:r>
      <w:r w:rsidR="0003046E">
        <w:rPr>
          <w:rFonts w:ascii="Times New Roman" w:hAnsi="Times New Roman" w:cs="Times New Roman"/>
          <w:i/>
          <w:sz w:val="24"/>
          <w:szCs w:val="24"/>
        </w:rPr>
        <w:t>Buk Bijela</w:t>
      </w:r>
      <w:r w:rsidR="0003046E">
        <w:rPr>
          <w:rFonts w:ascii="Times New Roman" w:hAnsi="Times New Roman" w:cs="Times New Roman"/>
          <w:sz w:val="24"/>
          <w:szCs w:val="24"/>
        </w:rPr>
        <w:t>, e questo perché «</w:t>
      </w:r>
      <w:r w:rsidR="0003046E" w:rsidRPr="0003046E">
        <w:rPr>
          <w:rFonts w:ascii="Times New Roman" w:hAnsi="Times New Roman" w:cs="Times New Roman"/>
          <w:i/>
          <w:sz w:val="24"/>
          <w:szCs w:val="24"/>
        </w:rPr>
        <w:t>those words could not leave</w:t>
      </w:r>
      <w:r w:rsidR="0003046E" w:rsidRPr="0003046E">
        <w:rPr>
          <w:rFonts w:ascii="Times New Roman" w:hAnsi="Times New Roman" w:cs="Times New Roman"/>
          <w:sz w:val="24"/>
          <w:szCs w:val="24"/>
        </w:rPr>
        <w:t xml:space="preserve"> </w:t>
      </w:r>
      <w:r w:rsidR="0003046E">
        <w:rPr>
          <w:rFonts w:ascii="Times New Roman" w:hAnsi="Times New Roman" w:cs="Times New Roman"/>
          <w:sz w:val="24"/>
          <w:szCs w:val="24"/>
        </w:rPr>
        <w:t xml:space="preserve">[her] </w:t>
      </w:r>
      <w:r w:rsidR="0003046E" w:rsidRPr="0003046E">
        <w:rPr>
          <w:rFonts w:ascii="Times New Roman" w:hAnsi="Times New Roman" w:cs="Times New Roman"/>
          <w:i/>
          <w:sz w:val="24"/>
          <w:szCs w:val="24"/>
        </w:rPr>
        <w:t>mouth</w:t>
      </w:r>
      <w:r w:rsidR="0003046E">
        <w:rPr>
          <w:rFonts w:ascii="Times New Roman" w:hAnsi="Times New Roman" w:cs="Times New Roman"/>
          <w:sz w:val="24"/>
          <w:szCs w:val="24"/>
        </w:rPr>
        <w:t xml:space="preserve">»; il 26 marzo 2000, in un incontro privato con il </w:t>
      </w:r>
      <w:r w:rsidR="0003046E">
        <w:rPr>
          <w:rFonts w:ascii="Times New Roman" w:hAnsi="Times New Roman" w:cs="Times New Roman"/>
          <w:i/>
          <w:sz w:val="24"/>
          <w:szCs w:val="24"/>
        </w:rPr>
        <w:t>Prosecutor</w:t>
      </w:r>
      <w:r w:rsidR="00165C3E">
        <w:rPr>
          <w:rFonts w:ascii="Times New Roman" w:hAnsi="Times New Roman" w:cs="Times New Roman"/>
          <w:sz w:val="24"/>
          <w:szCs w:val="24"/>
        </w:rPr>
        <w:t>,</w:t>
      </w:r>
      <w:r w:rsidR="0003046E">
        <w:rPr>
          <w:rFonts w:ascii="Times New Roman" w:hAnsi="Times New Roman" w:cs="Times New Roman"/>
          <w:sz w:val="24"/>
          <w:szCs w:val="24"/>
        </w:rPr>
        <w:t xml:space="preserve"> la teste </w:t>
      </w:r>
      <w:r w:rsidR="004740AC">
        <w:rPr>
          <w:rFonts w:ascii="Times New Roman" w:hAnsi="Times New Roman" w:cs="Times New Roman"/>
          <w:sz w:val="24"/>
          <w:szCs w:val="24"/>
        </w:rPr>
        <w:t>vuole</w:t>
      </w:r>
      <w:r w:rsidR="0003046E">
        <w:rPr>
          <w:rFonts w:ascii="Times New Roman" w:hAnsi="Times New Roman" w:cs="Times New Roman"/>
          <w:sz w:val="24"/>
          <w:szCs w:val="24"/>
        </w:rPr>
        <w:t xml:space="preserve"> ritrattare la propria precedente dichiarazione e raccontare, all'udienza tenutasi tre giorni dopo, degli stupri subiti da Vukovic. È la stessa accusa che introduce, in corso di esame, il problema </w:t>
      </w:r>
      <w:r w:rsidR="00EF5C63">
        <w:rPr>
          <w:rFonts w:ascii="Times New Roman" w:hAnsi="Times New Roman" w:cs="Times New Roman"/>
          <w:sz w:val="24"/>
          <w:szCs w:val="24"/>
        </w:rPr>
        <w:t>delle due di</w:t>
      </w:r>
      <w:r w:rsidR="00517831">
        <w:rPr>
          <w:rFonts w:ascii="Times New Roman" w:hAnsi="Times New Roman" w:cs="Times New Roman"/>
          <w:sz w:val="24"/>
          <w:szCs w:val="24"/>
        </w:rPr>
        <w:t>stinte</w:t>
      </w:r>
      <w:r w:rsidR="00EF5C63">
        <w:rPr>
          <w:rFonts w:ascii="Times New Roman" w:hAnsi="Times New Roman" w:cs="Times New Roman"/>
          <w:sz w:val="24"/>
          <w:szCs w:val="24"/>
        </w:rPr>
        <w:t xml:space="preserve"> versioni rese</w:t>
      </w:r>
      <w:r w:rsidR="0003046E">
        <w:rPr>
          <w:rFonts w:ascii="Times New Roman" w:hAnsi="Times New Roman" w:cs="Times New Roman"/>
          <w:sz w:val="24"/>
          <w:szCs w:val="24"/>
        </w:rPr>
        <w:t xml:space="preserve"> dalla teste</w:t>
      </w:r>
      <w:r w:rsidR="00EF5C63">
        <w:rPr>
          <w:rFonts w:ascii="Times New Roman" w:hAnsi="Times New Roman" w:cs="Times New Roman"/>
          <w:sz w:val="24"/>
          <w:szCs w:val="24"/>
        </w:rPr>
        <w:t xml:space="preserve"> tra il 1995 e il 2000</w:t>
      </w:r>
      <w:r w:rsidR="0003046E">
        <w:rPr>
          <w:rFonts w:ascii="Times New Roman" w:hAnsi="Times New Roman" w:cs="Times New Roman"/>
          <w:sz w:val="24"/>
          <w:szCs w:val="24"/>
        </w:rPr>
        <w:t xml:space="preserve">; ugualmente, però, il </w:t>
      </w:r>
      <w:r w:rsidR="0003046E">
        <w:rPr>
          <w:rFonts w:ascii="Times New Roman" w:hAnsi="Times New Roman" w:cs="Times New Roman"/>
          <w:i/>
          <w:sz w:val="24"/>
          <w:szCs w:val="24"/>
        </w:rPr>
        <w:t>Prosecutor</w:t>
      </w:r>
      <w:r w:rsidR="0003046E">
        <w:rPr>
          <w:rFonts w:ascii="Times New Roman" w:hAnsi="Times New Roman" w:cs="Times New Roman"/>
          <w:sz w:val="24"/>
          <w:szCs w:val="24"/>
        </w:rPr>
        <w:t xml:space="preserve"> riesce nel proprio intento di spiegare alla Corte – o, meglio, di fare spiegare alla vittima – che in un primo momento le era impossibile parlare, ma che dopo ha prevalso la voglia di fare conoscere al mondo quanto accaduto a Buk Bijela e a </w:t>
      </w:r>
      <w:r w:rsidR="002C0AD5">
        <w:rPr>
          <w:rFonts w:ascii="Times New Roman" w:hAnsi="Times New Roman" w:cs="Times New Roman"/>
          <w:sz w:val="24"/>
          <w:szCs w:val="24"/>
        </w:rPr>
        <w:t>Foča</w:t>
      </w:r>
      <w:r w:rsidR="0003046E">
        <w:rPr>
          <w:rStyle w:val="Rimandonotaapidipagina"/>
          <w:rFonts w:ascii="Times New Roman" w:hAnsi="Times New Roman" w:cs="Times New Roman"/>
          <w:sz w:val="24"/>
          <w:szCs w:val="24"/>
        </w:rPr>
        <w:footnoteReference w:id="24"/>
      </w:r>
      <w:r w:rsidR="0003046E">
        <w:rPr>
          <w:rFonts w:ascii="Times New Roman" w:hAnsi="Times New Roman" w:cs="Times New Roman"/>
          <w:sz w:val="24"/>
          <w:szCs w:val="24"/>
        </w:rPr>
        <w:t>.</w:t>
      </w:r>
    </w:p>
    <w:p w:rsidR="00F827D1" w:rsidRDefault="00100C96" w:rsidP="0003046E">
      <w:pPr>
        <w:spacing w:after="0"/>
        <w:jc w:val="both"/>
        <w:rPr>
          <w:rFonts w:ascii="Times New Roman" w:hAnsi="Times New Roman" w:cs="Times New Roman"/>
          <w:sz w:val="24"/>
          <w:szCs w:val="24"/>
        </w:rPr>
      </w:pPr>
      <w:r>
        <w:rPr>
          <w:rFonts w:ascii="Times New Roman" w:hAnsi="Times New Roman" w:cs="Times New Roman"/>
          <w:sz w:val="24"/>
          <w:szCs w:val="24"/>
        </w:rPr>
        <w:tab/>
        <w:t>All'in</w:t>
      </w:r>
      <w:r w:rsidR="002C0AD5">
        <w:rPr>
          <w:rFonts w:ascii="Times New Roman" w:hAnsi="Times New Roman" w:cs="Times New Roman"/>
          <w:sz w:val="24"/>
          <w:szCs w:val="24"/>
        </w:rPr>
        <w:t>i</w:t>
      </w:r>
      <w:r>
        <w:rPr>
          <w:rFonts w:ascii="Times New Roman" w:hAnsi="Times New Roman" w:cs="Times New Roman"/>
          <w:sz w:val="24"/>
          <w:szCs w:val="24"/>
        </w:rPr>
        <w:t xml:space="preserve">ziale reticenza, in sé molto frequente nelle vittime di violenza sessuale, s'aggiungeva, nel 1995, la vicinanza cronologica ai fatti, poi, denunciati e il timore, comunque esistente, di una loro reiterazione, vista la costante – diremmo pure: crescente – presenza di serbi nella zona di </w:t>
      </w:r>
      <w:r w:rsidR="002C0AD5">
        <w:rPr>
          <w:rFonts w:ascii="Times New Roman" w:hAnsi="Times New Roman" w:cs="Times New Roman"/>
          <w:sz w:val="24"/>
          <w:szCs w:val="24"/>
        </w:rPr>
        <w:t>Foča</w:t>
      </w:r>
      <w:r w:rsidR="00517831">
        <w:rPr>
          <w:rFonts w:ascii="Times New Roman" w:hAnsi="Times New Roman" w:cs="Times New Roman"/>
          <w:sz w:val="24"/>
          <w:szCs w:val="24"/>
        </w:rPr>
        <w:t>,</w:t>
      </w:r>
      <w:r>
        <w:rPr>
          <w:rFonts w:ascii="Times New Roman" w:hAnsi="Times New Roman" w:cs="Times New Roman"/>
          <w:sz w:val="24"/>
          <w:szCs w:val="24"/>
        </w:rPr>
        <w:t xml:space="preserve"> anche dopo la fine della guerra. Questi indici, uniti </w:t>
      </w:r>
      <w:r w:rsidR="00165C3E">
        <w:rPr>
          <w:rFonts w:ascii="Times New Roman" w:hAnsi="Times New Roman" w:cs="Times New Roman"/>
          <w:sz w:val="24"/>
          <w:szCs w:val="24"/>
        </w:rPr>
        <w:t>alle versioni</w:t>
      </w:r>
      <w:r>
        <w:rPr>
          <w:rFonts w:ascii="Times New Roman" w:hAnsi="Times New Roman" w:cs="Times New Roman"/>
          <w:sz w:val="24"/>
          <w:szCs w:val="24"/>
        </w:rPr>
        <w:t xml:space="preserve"> raccolte in giudizio</w:t>
      </w:r>
      <w:r w:rsidR="00165C3E">
        <w:rPr>
          <w:rFonts w:ascii="Times New Roman" w:hAnsi="Times New Roman" w:cs="Times New Roman"/>
          <w:sz w:val="24"/>
          <w:szCs w:val="24"/>
        </w:rPr>
        <w:t xml:space="preserve"> sulle altre vittime-testimoni</w:t>
      </w:r>
      <w:r>
        <w:rPr>
          <w:rFonts w:ascii="Times New Roman" w:hAnsi="Times New Roman" w:cs="Times New Roman"/>
          <w:sz w:val="24"/>
          <w:szCs w:val="24"/>
        </w:rPr>
        <w:t xml:space="preserve">, inducono il </w:t>
      </w:r>
      <w:r>
        <w:rPr>
          <w:rFonts w:ascii="Times New Roman" w:hAnsi="Times New Roman" w:cs="Times New Roman"/>
          <w:i/>
          <w:sz w:val="24"/>
          <w:szCs w:val="24"/>
        </w:rPr>
        <w:t>Prosecutor</w:t>
      </w:r>
      <w:r>
        <w:rPr>
          <w:rFonts w:ascii="Times New Roman" w:hAnsi="Times New Roman" w:cs="Times New Roman"/>
          <w:sz w:val="24"/>
          <w:szCs w:val="24"/>
        </w:rPr>
        <w:t xml:space="preserve"> ad una più approfondita indagine, a cinque anni di distanza, sui fatti di Buk Bijela e sulla successiva prigionia al liceo di </w:t>
      </w:r>
      <w:r w:rsidR="002C0AD5">
        <w:rPr>
          <w:rFonts w:ascii="Times New Roman" w:hAnsi="Times New Roman" w:cs="Times New Roman"/>
          <w:sz w:val="24"/>
          <w:szCs w:val="24"/>
        </w:rPr>
        <w:t>Foča</w:t>
      </w:r>
      <w:r w:rsidR="00165C3E">
        <w:rPr>
          <w:rFonts w:ascii="Times New Roman" w:hAnsi="Times New Roman" w:cs="Times New Roman"/>
          <w:sz w:val="24"/>
          <w:szCs w:val="24"/>
        </w:rPr>
        <w:t xml:space="preserve">, e la </w:t>
      </w:r>
      <w:r w:rsidR="00165C3E">
        <w:rPr>
          <w:rFonts w:ascii="Times New Roman" w:hAnsi="Times New Roman" w:cs="Times New Roman"/>
          <w:i/>
          <w:sz w:val="24"/>
          <w:szCs w:val="24"/>
        </w:rPr>
        <w:t>Testimone 50</w:t>
      </w:r>
      <w:r>
        <w:rPr>
          <w:rFonts w:ascii="Times New Roman" w:hAnsi="Times New Roman" w:cs="Times New Roman"/>
          <w:sz w:val="24"/>
          <w:szCs w:val="24"/>
        </w:rPr>
        <w:t xml:space="preserve"> dà ragione del suo sforzo, acconsentendo a raccontare quanto occorso e a rispondere ad una sequenza di domande che ne offrono l'immagine di una persona assolutamente credibile e in linea sia con le accuse rivolte agli imputati, sia con le altre evenienze acquisite dalla Corte. </w:t>
      </w:r>
    </w:p>
    <w:p w:rsidR="004F3B54" w:rsidRDefault="004F3B54" w:rsidP="0003046E">
      <w:pPr>
        <w:spacing w:after="0"/>
        <w:jc w:val="both"/>
        <w:rPr>
          <w:rFonts w:ascii="Times New Roman" w:hAnsi="Times New Roman" w:cs="Times New Roman"/>
          <w:sz w:val="24"/>
          <w:szCs w:val="24"/>
        </w:rPr>
      </w:pPr>
      <w:r>
        <w:rPr>
          <w:rFonts w:ascii="Times New Roman" w:hAnsi="Times New Roman" w:cs="Times New Roman"/>
          <w:sz w:val="24"/>
          <w:szCs w:val="24"/>
        </w:rPr>
        <w:tab/>
        <w:t xml:space="preserve">In definitiva, appare del tutto giustificata l'affermazione di credibilità della </w:t>
      </w:r>
      <w:r>
        <w:rPr>
          <w:rFonts w:ascii="Times New Roman" w:hAnsi="Times New Roman" w:cs="Times New Roman"/>
          <w:i/>
          <w:sz w:val="24"/>
          <w:szCs w:val="24"/>
        </w:rPr>
        <w:t>Testimone 50</w:t>
      </w:r>
      <w:r>
        <w:rPr>
          <w:rFonts w:ascii="Times New Roman" w:hAnsi="Times New Roman" w:cs="Times New Roman"/>
          <w:sz w:val="24"/>
          <w:szCs w:val="24"/>
        </w:rPr>
        <w:t xml:space="preserve"> e di tutti gli altri dichiaranti, che conduce, in via immediata, alla condanna dei tre imputati già in primo grado e, poi, su conferma del collegio d'appello: la tecnica impiegata dalla pubblica accusa nell'introdurre i </w:t>
      </w:r>
      <w:r>
        <w:rPr>
          <w:rFonts w:ascii="Times New Roman" w:hAnsi="Times New Roman" w:cs="Times New Roman"/>
          <w:i/>
          <w:sz w:val="24"/>
          <w:szCs w:val="24"/>
        </w:rPr>
        <w:t>dicta</w:t>
      </w:r>
      <w:r>
        <w:rPr>
          <w:rFonts w:ascii="Times New Roman" w:hAnsi="Times New Roman" w:cs="Times New Roman"/>
          <w:sz w:val="24"/>
          <w:szCs w:val="24"/>
        </w:rPr>
        <w:t xml:space="preserve"> delle vittime è, infatti, una capace di dimostrarne l'assoluta </w:t>
      </w:r>
      <w:r w:rsidR="008F369B">
        <w:rPr>
          <w:rFonts w:ascii="Times New Roman" w:hAnsi="Times New Roman" w:cs="Times New Roman"/>
          <w:sz w:val="24"/>
          <w:szCs w:val="24"/>
        </w:rPr>
        <w:t>attendibilità</w:t>
      </w:r>
      <w:r>
        <w:rPr>
          <w:rFonts w:ascii="Times New Roman" w:hAnsi="Times New Roman" w:cs="Times New Roman"/>
          <w:sz w:val="24"/>
          <w:szCs w:val="24"/>
        </w:rPr>
        <w:t xml:space="preserve">, nella definizione di una piattaforma probatoria idonea ad offrire a giudici, come quelli del Tribunale, estranei ai fatti e al contesto in cui essi occorsero, </w:t>
      </w:r>
      <w:r w:rsidR="008F369B">
        <w:rPr>
          <w:rFonts w:ascii="Times New Roman" w:hAnsi="Times New Roman" w:cs="Times New Roman"/>
          <w:sz w:val="24"/>
          <w:szCs w:val="24"/>
        </w:rPr>
        <w:t xml:space="preserve">la </w:t>
      </w:r>
      <w:r>
        <w:rPr>
          <w:rFonts w:ascii="Times New Roman" w:hAnsi="Times New Roman" w:cs="Times New Roman"/>
          <w:sz w:val="24"/>
          <w:szCs w:val="24"/>
        </w:rPr>
        <w:t xml:space="preserve">prova del delitto denunciato e dell'ambiente – </w:t>
      </w:r>
      <w:r>
        <w:rPr>
          <w:rFonts w:ascii="Times New Roman" w:hAnsi="Times New Roman" w:cs="Times New Roman"/>
          <w:i/>
          <w:sz w:val="24"/>
          <w:szCs w:val="24"/>
        </w:rPr>
        <w:t>id est</w:t>
      </w:r>
      <w:r>
        <w:rPr>
          <w:rFonts w:ascii="Times New Roman" w:hAnsi="Times New Roman" w:cs="Times New Roman"/>
          <w:sz w:val="24"/>
          <w:szCs w:val="24"/>
        </w:rPr>
        <w:t xml:space="preserve">, il conflitto etnico in Bosnia – in cui fu commesso. </w:t>
      </w:r>
    </w:p>
    <w:p w:rsidR="00C21716" w:rsidRDefault="00C21716" w:rsidP="0003046E">
      <w:pPr>
        <w:spacing w:after="0"/>
        <w:jc w:val="both"/>
        <w:rPr>
          <w:rFonts w:ascii="Times New Roman" w:hAnsi="Times New Roman" w:cs="Times New Roman"/>
          <w:sz w:val="24"/>
          <w:szCs w:val="24"/>
        </w:rPr>
      </w:pPr>
    </w:p>
    <w:p w:rsidR="00C21716" w:rsidRDefault="00C21716" w:rsidP="0003046E">
      <w:pPr>
        <w:spacing w:after="0"/>
        <w:jc w:val="both"/>
        <w:rPr>
          <w:rFonts w:ascii="Times New Roman" w:hAnsi="Times New Roman" w:cs="Times New Roman"/>
          <w:b/>
          <w:smallCaps/>
          <w:sz w:val="24"/>
          <w:szCs w:val="24"/>
        </w:rPr>
      </w:pPr>
      <w:r>
        <w:rPr>
          <w:rFonts w:ascii="Times New Roman" w:hAnsi="Times New Roman" w:cs="Times New Roman"/>
          <w:b/>
          <w:sz w:val="24"/>
          <w:szCs w:val="24"/>
        </w:rPr>
        <w:t xml:space="preserve">3. ... </w:t>
      </w:r>
      <w:r w:rsidRPr="002C0AD5">
        <w:rPr>
          <w:rFonts w:ascii="Times New Roman" w:hAnsi="Times New Roman" w:cs="Times New Roman"/>
          <w:b/>
          <w:i/>
          <w:smallCaps/>
          <w:sz w:val="24"/>
          <w:szCs w:val="24"/>
        </w:rPr>
        <w:t>Nyiramasuhuko</w:t>
      </w:r>
      <w:r>
        <w:rPr>
          <w:rFonts w:ascii="Times New Roman" w:hAnsi="Times New Roman" w:cs="Times New Roman"/>
          <w:b/>
          <w:smallCaps/>
          <w:sz w:val="24"/>
          <w:szCs w:val="24"/>
        </w:rPr>
        <w:t xml:space="preserve"> ...</w:t>
      </w:r>
    </w:p>
    <w:p w:rsidR="00C21716" w:rsidRDefault="00B349E4" w:rsidP="0003046E">
      <w:pPr>
        <w:spacing w:after="0"/>
        <w:jc w:val="both"/>
        <w:rPr>
          <w:rFonts w:ascii="Times New Roman" w:hAnsi="Times New Roman" w:cs="Times New Roman"/>
          <w:sz w:val="24"/>
          <w:szCs w:val="24"/>
        </w:rPr>
      </w:pPr>
      <w:r>
        <w:rPr>
          <w:rFonts w:ascii="Times New Roman" w:hAnsi="Times New Roman" w:cs="Times New Roman"/>
          <w:sz w:val="24"/>
          <w:szCs w:val="24"/>
        </w:rPr>
        <w:t xml:space="preserve">Il percorso argomentativo che ci si è proposti impone ora di passare all'altra esperienza di giustizia penale internazionale degli anni Novanta, ossia il Tribunale per il Ruanda: </w:t>
      </w:r>
      <w:r>
        <w:rPr>
          <w:rFonts w:ascii="Times New Roman" w:hAnsi="Times New Roman" w:cs="Times New Roman"/>
          <w:sz w:val="24"/>
          <w:szCs w:val="24"/>
        </w:rPr>
        <w:lastRenderedPageBreak/>
        <w:t>rileva per esso, il caso che vede protagonista l'ex ministro per la famiglia del Paese africano, Pauline Nyiramasuhuko</w:t>
      </w:r>
      <w:r w:rsidR="00604F9D">
        <w:rPr>
          <w:rStyle w:val="Rimandonotaapidipagina"/>
          <w:rFonts w:ascii="Times New Roman" w:hAnsi="Times New Roman" w:cs="Times New Roman"/>
          <w:sz w:val="24"/>
          <w:szCs w:val="24"/>
        </w:rPr>
        <w:footnoteReference w:id="25"/>
      </w:r>
      <w:r>
        <w:rPr>
          <w:rFonts w:ascii="Times New Roman" w:hAnsi="Times New Roman" w:cs="Times New Roman"/>
          <w:sz w:val="24"/>
          <w:szCs w:val="24"/>
        </w:rPr>
        <w:t xml:space="preserve">. </w:t>
      </w:r>
    </w:p>
    <w:p w:rsidR="00B349E4" w:rsidRDefault="00B349E4" w:rsidP="0003046E">
      <w:pPr>
        <w:spacing w:after="0"/>
        <w:jc w:val="both"/>
        <w:rPr>
          <w:rFonts w:ascii="Times New Roman" w:hAnsi="Times New Roman" w:cs="Times New Roman"/>
          <w:sz w:val="24"/>
          <w:szCs w:val="24"/>
        </w:rPr>
      </w:pPr>
      <w:r>
        <w:rPr>
          <w:rFonts w:ascii="Times New Roman" w:hAnsi="Times New Roman" w:cs="Times New Roman"/>
          <w:sz w:val="24"/>
          <w:szCs w:val="24"/>
        </w:rPr>
        <w:tab/>
        <w:t xml:space="preserve">Tra il 1990 e il 1994, la Nyiramasuhuko ha partecipato ad un piano per la distruzione dell'etnia Tutsi </w:t>
      </w:r>
      <w:r w:rsidR="00F53EF4">
        <w:rPr>
          <w:rFonts w:ascii="Times New Roman" w:hAnsi="Times New Roman" w:cs="Times New Roman"/>
          <w:sz w:val="24"/>
          <w:szCs w:val="24"/>
        </w:rPr>
        <w:t>in</w:t>
      </w:r>
      <w:r>
        <w:rPr>
          <w:rFonts w:ascii="Times New Roman" w:hAnsi="Times New Roman" w:cs="Times New Roman"/>
          <w:sz w:val="24"/>
          <w:szCs w:val="24"/>
        </w:rPr>
        <w:t xml:space="preserve"> Ruanda: ciò prevedeva </w:t>
      </w:r>
      <w:r w:rsidR="00E34F61">
        <w:rPr>
          <w:rFonts w:ascii="Times New Roman" w:hAnsi="Times New Roman" w:cs="Times New Roman"/>
          <w:sz w:val="24"/>
          <w:szCs w:val="24"/>
        </w:rPr>
        <w:t xml:space="preserve">il ricorso all'odio e alla violenza etnica, la formazione delle milizie Hutu e la fornitura di armi, nonché la redazione di elenchi di soggetti da eliminare fisicamente. Nel 1994, la Nyiramasuhuko è stata nominata responsabile per la "pacificazione" nella regione di Butare: lì avrebbe organizzato una vera e propria trappola per i residenti di etnia Tutsi, avendoli convinti, mediante l'uso di altoparlanti diffusi in ogni angolo della zona, che la Croce rossa aveva avviato un punto di raccolta per la popolazione nel locale stadio, così da </w:t>
      </w:r>
      <w:r w:rsidR="00F53EF4">
        <w:rPr>
          <w:rFonts w:ascii="Times New Roman" w:hAnsi="Times New Roman" w:cs="Times New Roman"/>
          <w:sz w:val="24"/>
          <w:szCs w:val="24"/>
        </w:rPr>
        <w:t>garantirle</w:t>
      </w:r>
      <w:r w:rsidR="00E34F61">
        <w:rPr>
          <w:rFonts w:ascii="Times New Roman" w:hAnsi="Times New Roman" w:cs="Times New Roman"/>
          <w:sz w:val="24"/>
          <w:szCs w:val="24"/>
        </w:rPr>
        <w:t xml:space="preserve"> cibo e assistenza medica. Il 25 aprile 1994 migliaia di Tutsi si sono recati allo stadio, ove li attendevano miliziani Hutu (il corpo chiamato </w:t>
      </w:r>
      <w:r w:rsidR="00E34F61">
        <w:rPr>
          <w:rFonts w:ascii="Times New Roman" w:hAnsi="Times New Roman" w:cs="Times New Roman"/>
          <w:i/>
          <w:sz w:val="24"/>
          <w:szCs w:val="24"/>
        </w:rPr>
        <w:t>Interahamwe</w:t>
      </w:r>
      <w:r w:rsidR="00E34F61">
        <w:rPr>
          <w:rFonts w:ascii="Times New Roman" w:hAnsi="Times New Roman" w:cs="Times New Roman"/>
          <w:sz w:val="24"/>
          <w:szCs w:val="24"/>
        </w:rPr>
        <w:t xml:space="preserve">), cui la Nyiramasuhuko aveva dato ordine di uccidere quante più persone possibile e, prima, di violentare le donne </w:t>
      </w:r>
      <w:r w:rsidR="00E34F61">
        <w:rPr>
          <w:rFonts w:ascii="Times New Roman" w:hAnsi="Times New Roman" w:cs="Times New Roman"/>
          <w:i/>
          <w:sz w:val="24"/>
          <w:szCs w:val="24"/>
        </w:rPr>
        <w:t>in loco</w:t>
      </w:r>
      <w:r w:rsidR="00E34F61">
        <w:rPr>
          <w:rFonts w:ascii="Times New Roman" w:hAnsi="Times New Roman" w:cs="Times New Roman"/>
          <w:sz w:val="24"/>
          <w:szCs w:val="24"/>
        </w:rPr>
        <w:t>. I verbali del processo per i fatti di Butare narrano particolari raccapriccianti: ad esempio, la Nyiramasuhuko si sarebbe recata in un campo ove l'</w:t>
      </w:r>
      <w:r w:rsidR="00E34F61">
        <w:rPr>
          <w:rFonts w:ascii="Times New Roman" w:hAnsi="Times New Roman" w:cs="Times New Roman"/>
          <w:i/>
          <w:sz w:val="24"/>
          <w:szCs w:val="24"/>
        </w:rPr>
        <w:t>Interahamwe</w:t>
      </w:r>
      <w:r w:rsidR="00E34F61">
        <w:rPr>
          <w:rFonts w:ascii="Times New Roman" w:hAnsi="Times New Roman" w:cs="Times New Roman"/>
          <w:sz w:val="24"/>
          <w:szCs w:val="24"/>
        </w:rPr>
        <w:t xml:space="preserve"> deteneva prigionieri una settantina di individui: l'imputata avrebbe ordinato ai miliziani di stuprare le donne prima di cospargerle di benzina e di dare loro fuoco</w:t>
      </w:r>
      <w:r w:rsidR="00E34F61">
        <w:rPr>
          <w:rStyle w:val="Rimandonotaapidipagina"/>
          <w:rFonts w:ascii="Times New Roman" w:hAnsi="Times New Roman" w:cs="Times New Roman"/>
          <w:sz w:val="24"/>
          <w:szCs w:val="24"/>
        </w:rPr>
        <w:footnoteReference w:id="26"/>
      </w:r>
      <w:r w:rsidR="00E34F61">
        <w:rPr>
          <w:rFonts w:ascii="Times New Roman" w:hAnsi="Times New Roman" w:cs="Times New Roman"/>
          <w:sz w:val="24"/>
          <w:szCs w:val="24"/>
        </w:rPr>
        <w:t xml:space="preserve">. </w:t>
      </w:r>
    </w:p>
    <w:p w:rsidR="00604F9D" w:rsidRDefault="00604F9D" w:rsidP="0003046E">
      <w:pPr>
        <w:spacing w:after="0"/>
        <w:jc w:val="both"/>
        <w:rPr>
          <w:rFonts w:ascii="Times New Roman" w:hAnsi="Times New Roman" w:cs="Times New Roman"/>
          <w:sz w:val="24"/>
          <w:szCs w:val="24"/>
        </w:rPr>
      </w:pPr>
      <w:r>
        <w:rPr>
          <w:rFonts w:ascii="Times New Roman" w:hAnsi="Times New Roman" w:cs="Times New Roman"/>
          <w:sz w:val="24"/>
          <w:szCs w:val="24"/>
        </w:rPr>
        <w:tab/>
        <w:t xml:space="preserve">Il processo a carico della Nyiramasuhuko presenta, sotto il profilo delle vittime-testimoni, varie analogie con il caso </w:t>
      </w:r>
      <w:r>
        <w:rPr>
          <w:rFonts w:ascii="Times New Roman" w:hAnsi="Times New Roman" w:cs="Times New Roman"/>
          <w:i/>
          <w:sz w:val="24"/>
          <w:szCs w:val="24"/>
        </w:rPr>
        <w:t>Kurnarac</w:t>
      </w:r>
      <w:r>
        <w:rPr>
          <w:rFonts w:ascii="Times New Roman" w:hAnsi="Times New Roman" w:cs="Times New Roman"/>
          <w:sz w:val="24"/>
          <w:szCs w:val="24"/>
        </w:rPr>
        <w:t>, appena analizzato. Anche nella situazione che ora ci occupa, si tratta di stupro etnico qualificabile nei termini di crimine contro l'umanità</w:t>
      </w:r>
      <w:r>
        <w:rPr>
          <w:rStyle w:val="Rimandonotaapidipagina"/>
          <w:rFonts w:ascii="Times New Roman" w:hAnsi="Times New Roman" w:cs="Times New Roman"/>
          <w:sz w:val="24"/>
          <w:szCs w:val="24"/>
        </w:rPr>
        <w:footnoteReference w:id="27"/>
      </w:r>
      <w:r>
        <w:rPr>
          <w:rFonts w:ascii="Times New Roman" w:hAnsi="Times New Roman" w:cs="Times New Roman"/>
          <w:sz w:val="24"/>
          <w:szCs w:val="24"/>
        </w:rPr>
        <w:t xml:space="preserve">: </w:t>
      </w:r>
      <w:r w:rsidR="00CF5106">
        <w:rPr>
          <w:rFonts w:ascii="Times New Roman" w:hAnsi="Times New Roman" w:cs="Times New Roman"/>
          <w:sz w:val="24"/>
          <w:szCs w:val="24"/>
        </w:rPr>
        <w:t>occorre</w:t>
      </w:r>
      <w:r w:rsidR="00763A67">
        <w:rPr>
          <w:rFonts w:ascii="Times New Roman" w:hAnsi="Times New Roman" w:cs="Times New Roman"/>
          <w:sz w:val="24"/>
          <w:szCs w:val="24"/>
        </w:rPr>
        <w:t xml:space="preserve">, dunque, </w:t>
      </w:r>
      <w:r>
        <w:rPr>
          <w:rFonts w:ascii="Times New Roman" w:hAnsi="Times New Roman" w:cs="Times New Roman"/>
          <w:sz w:val="24"/>
          <w:szCs w:val="24"/>
        </w:rPr>
        <w:t xml:space="preserve">comprendere come il </w:t>
      </w:r>
      <w:r>
        <w:rPr>
          <w:rFonts w:ascii="Times New Roman" w:hAnsi="Times New Roman" w:cs="Times New Roman"/>
          <w:i/>
          <w:sz w:val="24"/>
          <w:szCs w:val="24"/>
        </w:rPr>
        <w:t>Prosecutor</w:t>
      </w:r>
      <w:r w:rsidR="002C0AD5">
        <w:rPr>
          <w:rFonts w:ascii="Times New Roman" w:hAnsi="Times New Roman" w:cs="Times New Roman"/>
          <w:sz w:val="24"/>
          <w:szCs w:val="24"/>
        </w:rPr>
        <w:t xml:space="preserve"> abbia potuto dimostrare un’</w:t>
      </w:r>
      <w:r>
        <w:rPr>
          <w:rFonts w:ascii="Times New Roman" w:hAnsi="Times New Roman" w:cs="Times New Roman"/>
          <w:sz w:val="24"/>
          <w:szCs w:val="24"/>
        </w:rPr>
        <w:t xml:space="preserve">accusa del genere. </w:t>
      </w:r>
    </w:p>
    <w:p w:rsidR="00604F9D" w:rsidRDefault="00604F9D" w:rsidP="0003046E">
      <w:pPr>
        <w:spacing w:after="0"/>
        <w:jc w:val="both"/>
        <w:rPr>
          <w:rFonts w:ascii="Times New Roman" w:hAnsi="Times New Roman" w:cs="Times New Roman"/>
          <w:sz w:val="24"/>
          <w:szCs w:val="24"/>
        </w:rPr>
      </w:pPr>
      <w:r>
        <w:rPr>
          <w:rFonts w:ascii="Times New Roman" w:hAnsi="Times New Roman" w:cs="Times New Roman"/>
          <w:sz w:val="24"/>
          <w:szCs w:val="24"/>
        </w:rPr>
        <w:tab/>
      </w:r>
      <w:r w:rsidR="00CF5106">
        <w:rPr>
          <w:rFonts w:ascii="Times New Roman" w:hAnsi="Times New Roman" w:cs="Times New Roman"/>
          <w:sz w:val="24"/>
          <w:szCs w:val="24"/>
        </w:rPr>
        <w:t>Bisogna</w:t>
      </w:r>
      <w:r>
        <w:rPr>
          <w:rFonts w:ascii="Times New Roman" w:hAnsi="Times New Roman" w:cs="Times New Roman"/>
          <w:sz w:val="24"/>
          <w:szCs w:val="24"/>
        </w:rPr>
        <w:t xml:space="preserve"> tornare al tema della credibilità dei testimoni: il Tribunale individua alcuni criteri per il relativo vaglio</w:t>
      </w:r>
      <w:r>
        <w:rPr>
          <w:rStyle w:val="Rimandonotaapidipagina"/>
          <w:rFonts w:ascii="Times New Roman" w:hAnsi="Times New Roman" w:cs="Times New Roman"/>
          <w:sz w:val="24"/>
          <w:szCs w:val="24"/>
        </w:rPr>
        <w:footnoteReference w:id="28"/>
      </w:r>
      <w:r>
        <w:rPr>
          <w:rFonts w:ascii="Times New Roman" w:hAnsi="Times New Roman" w:cs="Times New Roman"/>
          <w:sz w:val="24"/>
          <w:szCs w:val="24"/>
        </w:rPr>
        <w:t>, quali</w:t>
      </w:r>
      <w:r w:rsidR="002C0AD5">
        <w:rPr>
          <w:rFonts w:ascii="Times New Roman" w:hAnsi="Times New Roman" w:cs="Times New Roman"/>
          <w:sz w:val="24"/>
          <w:szCs w:val="24"/>
        </w:rPr>
        <w:t xml:space="preserve">: </w:t>
      </w:r>
      <w:r w:rsidR="002C0AD5">
        <w:rPr>
          <w:rFonts w:ascii="Times New Roman" w:hAnsi="Times New Roman" w:cs="Times New Roman"/>
          <w:i/>
          <w:sz w:val="24"/>
          <w:szCs w:val="24"/>
        </w:rPr>
        <w:t>a)</w:t>
      </w:r>
      <w:r>
        <w:rPr>
          <w:rFonts w:ascii="Times New Roman" w:hAnsi="Times New Roman" w:cs="Times New Roman"/>
          <w:sz w:val="24"/>
          <w:szCs w:val="24"/>
        </w:rPr>
        <w:t xml:space="preserve"> la preliminare conoscenza dell'accusata da parte </w:t>
      </w:r>
      <w:r w:rsidR="001A3C21">
        <w:rPr>
          <w:rFonts w:ascii="Times New Roman" w:hAnsi="Times New Roman" w:cs="Times New Roman"/>
          <w:sz w:val="24"/>
          <w:szCs w:val="24"/>
        </w:rPr>
        <w:t>del teste</w:t>
      </w:r>
      <w:r w:rsidR="002C0AD5">
        <w:rPr>
          <w:rFonts w:ascii="Times New Roman" w:hAnsi="Times New Roman" w:cs="Times New Roman"/>
          <w:sz w:val="24"/>
          <w:szCs w:val="24"/>
        </w:rPr>
        <w:t xml:space="preserve">; </w:t>
      </w:r>
      <w:r w:rsidR="002C0AD5">
        <w:rPr>
          <w:rFonts w:ascii="Times New Roman" w:hAnsi="Times New Roman" w:cs="Times New Roman"/>
          <w:i/>
          <w:sz w:val="24"/>
          <w:szCs w:val="24"/>
        </w:rPr>
        <w:t>b)</w:t>
      </w:r>
      <w:r>
        <w:rPr>
          <w:rFonts w:ascii="Times New Roman" w:hAnsi="Times New Roman" w:cs="Times New Roman"/>
          <w:sz w:val="24"/>
          <w:szCs w:val="24"/>
        </w:rPr>
        <w:t xml:space="preserve"> l'esistenza di un contesto funzionale al teste per osservare l'imputata nell'atto di commettere il reato</w:t>
      </w:r>
      <w:r w:rsidR="002C0AD5">
        <w:rPr>
          <w:rFonts w:ascii="Times New Roman" w:hAnsi="Times New Roman" w:cs="Times New Roman"/>
          <w:sz w:val="24"/>
          <w:szCs w:val="24"/>
        </w:rPr>
        <w:t xml:space="preserve">; </w:t>
      </w:r>
      <w:r w:rsidR="002C0AD5">
        <w:rPr>
          <w:rFonts w:ascii="Times New Roman" w:hAnsi="Times New Roman" w:cs="Times New Roman"/>
          <w:i/>
          <w:sz w:val="24"/>
          <w:szCs w:val="24"/>
        </w:rPr>
        <w:t>c)</w:t>
      </w:r>
      <w:r w:rsidR="002C0AD5">
        <w:rPr>
          <w:rFonts w:ascii="Times New Roman" w:hAnsi="Times New Roman" w:cs="Times New Roman"/>
          <w:sz w:val="24"/>
          <w:szCs w:val="24"/>
        </w:rPr>
        <w:t xml:space="preserve"> l'eventuale influenza di terzi; </w:t>
      </w:r>
      <w:r w:rsidR="002C0AD5">
        <w:rPr>
          <w:rFonts w:ascii="Times New Roman" w:hAnsi="Times New Roman" w:cs="Times New Roman"/>
          <w:i/>
          <w:sz w:val="24"/>
          <w:szCs w:val="24"/>
        </w:rPr>
        <w:t>d)</w:t>
      </w:r>
      <w:r>
        <w:rPr>
          <w:rFonts w:ascii="Times New Roman" w:hAnsi="Times New Roman" w:cs="Times New Roman"/>
          <w:sz w:val="24"/>
          <w:szCs w:val="24"/>
        </w:rPr>
        <w:t xml:space="preserve"> il lasso temporale intercorso tra i delitti e la dichiarazione</w:t>
      </w:r>
      <w:r w:rsidR="002C0AD5">
        <w:rPr>
          <w:rFonts w:ascii="Times New Roman" w:hAnsi="Times New Roman" w:cs="Times New Roman"/>
          <w:sz w:val="24"/>
          <w:szCs w:val="24"/>
        </w:rPr>
        <w:t xml:space="preserve">; </w:t>
      </w:r>
      <w:r w:rsidR="002C0AD5">
        <w:rPr>
          <w:rFonts w:ascii="Times New Roman" w:hAnsi="Times New Roman" w:cs="Times New Roman"/>
          <w:i/>
          <w:sz w:val="24"/>
          <w:szCs w:val="24"/>
        </w:rPr>
        <w:t>e)</w:t>
      </w:r>
      <w:r w:rsidR="001A3C21">
        <w:rPr>
          <w:rFonts w:ascii="Times New Roman" w:hAnsi="Times New Roman" w:cs="Times New Roman"/>
          <w:sz w:val="24"/>
          <w:szCs w:val="24"/>
        </w:rPr>
        <w:t xml:space="preserve"> </w:t>
      </w:r>
      <w:r>
        <w:rPr>
          <w:rFonts w:ascii="Times New Roman" w:hAnsi="Times New Roman" w:cs="Times New Roman"/>
          <w:sz w:val="24"/>
          <w:szCs w:val="24"/>
        </w:rPr>
        <w:t>l'esistenza di condizioni esterne idonee a minare la credibilità del teste</w:t>
      </w:r>
      <w:r w:rsidR="001A3C21">
        <w:rPr>
          <w:rStyle w:val="Rimandonotaapidipagina"/>
          <w:rFonts w:ascii="Times New Roman" w:hAnsi="Times New Roman" w:cs="Times New Roman"/>
          <w:sz w:val="24"/>
          <w:szCs w:val="24"/>
        </w:rPr>
        <w:footnoteReference w:id="29"/>
      </w:r>
      <w:r>
        <w:rPr>
          <w:rFonts w:ascii="Times New Roman" w:hAnsi="Times New Roman" w:cs="Times New Roman"/>
          <w:sz w:val="24"/>
          <w:szCs w:val="24"/>
        </w:rPr>
        <w:t>.</w:t>
      </w:r>
    </w:p>
    <w:p w:rsidR="001A3C21" w:rsidRDefault="001A3C21" w:rsidP="0003046E">
      <w:pPr>
        <w:spacing w:after="0"/>
        <w:jc w:val="both"/>
        <w:rPr>
          <w:rFonts w:ascii="Times New Roman" w:hAnsi="Times New Roman" w:cs="Times New Roman"/>
          <w:sz w:val="24"/>
          <w:szCs w:val="24"/>
        </w:rPr>
      </w:pPr>
      <w:r>
        <w:rPr>
          <w:rFonts w:ascii="Times New Roman" w:hAnsi="Times New Roman" w:cs="Times New Roman"/>
          <w:sz w:val="24"/>
          <w:szCs w:val="24"/>
        </w:rPr>
        <w:tab/>
        <w:t xml:space="preserve">É interessante la raccomandazione offerta dalla Corte, che si auto-impone, all'inizio del giudizio, di redigere parere motivato, con il vaglio di ciascuno dei suddetti parametri di attendibilità, di fronte a testimonianze ritenute "difficili", laddove, cioè, non sembri scontata l'attitudine del dichiarante a fornire prova certa dell'identificazione </w:t>
      </w:r>
      <w:r>
        <w:rPr>
          <w:rFonts w:ascii="Times New Roman" w:hAnsi="Times New Roman" w:cs="Times New Roman"/>
          <w:sz w:val="24"/>
          <w:szCs w:val="24"/>
        </w:rPr>
        <w:lastRenderedPageBreak/>
        <w:t>dell'accusato</w:t>
      </w:r>
      <w:r>
        <w:rPr>
          <w:rStyle w:val="Rimandonotaapidipagina"/>
          <w:rFonts w:ascii="Times New Roman" w:hAnsi="Times New Roman" w:cs="Times New Roman"/>
          <w:sz w:val="24"/>
          <w:szCs w:val="24"/>
        </w:rPr>
        <w:footnoteReference w:id="30"/>
      </w:r>
      <w:r>
        <w:rPr>
          <w:rFonts w:ascii="Times New Roman" w:hAnsi="Times New Roman" w:cs="Times New Roman"/>
          <w:sz w:val="24"/>
          <w:szCs w:val="24"/>
        </w:rPr>
        <w:t xml:space="preserve">. Quale generale norma di valutazione, poi, viene affermata quella per cui non può darsi peso ai </w:t>
      </w:r>
      <w:r>
        <w:rPr>
          <w:rFonts w:ascii="Times New Roman" w:hAnsi="Times New Roman" w:cs="Times New Roman"/>
          <w:i/>
          <w:sz w:val="24"/>
          <w:szCs w:val="24"/>
        </w:rPr>
        <w:t>dicta</w:t>
      </w:r>
      <w:r>
        <w:rPr>
          <w:rFonts w:ascii="Times New Roman" w:hAnsi="Times New Roman" w:cs="Times New Roman"/>
          <w:sz w:val="24"/>
          <w:szCs w:val="24"/>
        </w:rPr>
        <w:t xml:space="preserve"> del teste che, per la prima volta, offre un indizio finalizzato ad individuare il reo direttamente nell'aula del processo</w:t>
      </w:r>
      <w:r>
        <w:rPr>
          <w:rStyle w:val="Rimandonotaapidipagina"/>
          <w:rFonts w:ascii="Times New Roman" w:hAnsi="Times New Roman" w:cs="Times New Roman"/>
          <w:sz w:val="24"/>
          <w:szCs w:val="24"/>
        </w:rPr>
        <w:footnoteReference w:id="31"/>
      </w:r>
      <w:r>
        <w:rPr>
          <w:rFonts w:ascii="Times New Roman" w:hAnsi="Times New Roman" w:cs="Times New Roman"/>
          <w:sz w:val="24"/>
          <w:szCs w:val="24"/>
        </w:rPr>
        <w:t xml:space="preserve">. </w:t>
      </w:r>
    </w:p>
    <w:p w:rsidR="001A3C21" w:rsidRDefault="001A3C21" w:rsidP="0003046E">
      <w:pPr>
        <w:spacing w:after="0"/>
        <w:jc w:val="both"/>
        <w:rPr>
          <w:rFonts w:ascii="Times New Roman" w:hAnsi="Times New Roman" w:cs="Times New Roman"/>
          <w:sz w:val="24"/>
          <w:szCs w:val="24"/>
        </w:rPr>
      </w:pPr>
      <w:r>
        <w:rPr>
          <w:rFonts w:ascii="Times New Roman" w:hAnsi="Times New Roman" w:cs="Times New Roman"/>
          <w:sz w:val="24"/>
          <w:szCs w:val="24"/>
        </w:rPr>
        <w:tab/>
        <w:t>Appare</w:t>
      </w:r>
      <w:r w:rsidR="002E3226">
        <w:rPr>
          <w:rFonts w:ascii="Times New Roman" w:hAnsi="Times New Roman" w:cs="Times New Roman"/>
          <w:sz w:val="24"/>
          <w:szCs w:val="24"/>
        </w:rPr>
        <w:t>, così,</w:t>
      </w:r>
      <w:r>
        <w:rPr>
          <w:rFonts w:ascii="Times New Roman" w:hAnsi="Times New Roman" w:cs="Times New Roman"/>
          <w:sz w:val="24"/>
          <w:szCs w:val="24"/>
        </w:rPr>
        <w:t xml:space="preserve"> possibile cogliere un punto di continuità tra i casi </w:t>
      </w:r>
      <w:r>
        <w:rPr>
          <w:rFonts w:ascii="Times New Roman" w:hAnsi="Times New Roman" w:cs="Times New Roman"/>
          <w:i/>
          <w:sz w:val="24"/>
          <w:szCs w:val="24"/>
        </w:rPr>
        <w:t xml:space="preserve">Kunarac </w:t>
      </w:r>
      <w:r>
        <w:rPr>
          <w:rFonts w:ascii="Times New Roman" w:hAnsi="Times New Roman" w:cs="Times New Roman"/>
          <w:sz w:val="24"/>
          <w:szCs w:val="24"/>
        </w:rPr>
        <w:t xml:space="preserve">e </w:t>
      </w:r>
      <w:r>
        <w:rPr>
          <w:rFonts w:ascii="Times New Roman" w:hAnsi="Times New Roman" w:cs="Times New Roman"/>
          <w:i/>
          <w:sz w:val="24"/>
          <w:szCs w:val="24"/>
        </w:rPr>
        <w:t>Nyirama</w:t>
      </w:r>
      <w:r w:rsidR="007E26F2">
        <w:rPr>
          <w:rFonts w:ascii="Times New Roman" w:hAnsi="Times New Roman" w:cs="Times New Roman"/>
          <w:i/>
          <w:sz w:val="24"/>
          <w:szCs w:val="24"/>
        </w:rPr>
        <w:t>suhuko</w:t>
      </w:r>
      <w:r w:rsidR="007E26F2">
        <w:rPr>
          <w:rFonts w:ascii="Times New Roman" w:hAnsi="Times New Roman" w:cs="Times New Roman"/>
          <w:sz w:val="24"/>
          <w:szCs w:val="24"/>
        </w:rPr>
        <w:t xml:space="preserve">, atteso che in entrambi il </w:t>
      </w:r>
      <w:r w:rsidR="002E3226">
        <w:rPr>
          <w:rFonts w:ascii="Times New Roman" w:hAnsi="Times New Roman" w:cs="Times New Roman"/>
          <w:sz w:val="24"/>
          <w:szCs w:val="24"/>
        </w:rPr>
        <w:t>controllo</w:t>
      </w:r>
      <w:r w:rsidR="007E26F2">
        <w:rPr>
          <w:rFonts w:ascii="Times New Roman" w:hAnsi="Times New Roman" w:cs="Times New Roman"/>
          <w:sz w:val="24"/>
          <w:szCs w:val="24"/>
        </w:rPr>
        <w:t xml:space="preserve"> di attendibilità della vittima-teste è compiuto prima dell'udienza, attraverso una serie di contatti preliminari tra costei e gli inquirenti</w:t>
      </w:r>
      <w:r w:rsidR="00763A67">
        <w:rPr>
          <w:rFonts w:ascii="Times New Roman" w:hAnsi="Times New Roman" w:cs="Times New Roman"/>
          <w:sz w:val="24"/>
          <w:szCs w:val="24"/>
        </w:rPr>
        <w:t xml:space="preserve"> o i giudici</w:t>
      </w:r>
      <w:r w:rsidR="007E26F2">
        <w:rPr>
          <w:rFonts w:ascii="Times New Roman" w:hAnsi="Times New Roman" w:cs="Times New Roman"/>
          <w:sz w:val="24"/>
          <w:szCs w:val="24"/>
        </w:rPr>
        <w:t xml:space="preserve">: d'altro canto, non sarebbe stato possibile per il Tribunale per la ex Jugoslavia accordare credibilità alla </w:t>
      </w:r>
      <w:r w:rsidR="007E26F2">
        <w:rPr>
          <w:rFonts w:ascii="Times New Roman" w:hAnsi="Times New Roman" w:cs="Times New Roman"/>
          <w:i/>
          <w:sz w:val="24"/>
          <w:szCs w:val="24"/>
        </w:rPr>
        <w:t>Testimone 50</w:t>
      </w:r>
      <w:r w:rsidR="007E26F2">
        <w:rPr>
          <w:rFonts w:ascii="Times New Roman" w:hAnsi="Times New Roman" w:cs="Times New Roman"/>
          <w:sz w:val="24"/>
          <w:szCs w:val="24"/>
        </w:rPr>
        <w:t xml:space="preserve"> qualora, a tre giorni </w:t>
      </w:r>
      <w:r w:rsidR="002E3226">
        <w:rPr>
          <w:rFonts w:ascii="Times New Roman" w:hAnsi="Times New Roman" w:cs="Times New Roman"/>
          <w:sz w:val="24"/>
          <w:szCs w:val="24"/>
        </w:rPr>
        <w:t>dal suo esame in giudizio</w:t>
      </w:r>
      <w:r w:rsidR="007E26F2">
        <w:rPr>
          <w:rFonts w:ascii="Times New Roman" w:hAnsi="Times New Roman" w:cs="Times New Roman"/>
          <w:sz w:val="24"/>
          <w:szCs w:val="24"/>
        </w:rPr>
        <w:t xml:space="preserve">, il </w:t>
      </w:r>
      <w:r w:rsidR="007E26F2">
        <w:rPr>
          <w:rFonts w:ascii="Times New Roman" w:hAnsi="Times New Roman" w:cs="Times New Roman"/>
          <w:i/>
          <w:sz w:val="24"/>
          <w:szCs w:val="24"/>
        </w:rPr>
        <w:t>Prosecutor</w:t>
      </w:r>
      <w:r w:rsidR="007E26F2">
        <w:rPr>
          <w:rFonts w:ascii="Times New Roman" w:hAnsi="Times New Roman" w:cs="Times New Roman"/>
          <w:sz w:val="24"/>
          <w:szCs w:val="24"/>
        </w:rPr>
        <w:t xml:space="preserve"> non le avesse chiesto se intendesse ritrattare le dichiarazioni del 1995: </w:t>
      </w:r>
      <w:r w:rsidR="007E26F2">
        <w:rPr>
          <w:rFonts w:ascii="Times New Roman" w:hAnsi="Times New Roman" w:cs="Times New Roman"/>
          <w:i/>
          <w:sz w:val="24"/>
          <w:szCs w:val="24"/>
        </w:rPr>
        <w:t>mutatis mutandis</w:t>
      </w:r>
      <w:r w:rsidR="007E26F2">
        <w:rPr>
          <w:rFonts w:ascii="Times New Roman" w:hAnsi="Times New Roman" w:cs="Times New Roman"/>
          <w:sz w:val="24"/>
          <w:szCs w:val="24"/>
        </w:rPr>
        <w:t xml:space="preserve">, il medesimo principio è espresso in </w:t>
      </w:r>
      <w:r w:rsidR="007E26F2">
        <w:rPr>
          <w:rFonts w:ascii="Times New Roman" w:hAnsi="Times New Roman" w:cs="Times New Roman"/>
          <w:i/>
          <w:sz w:val="24"/>
          <w:szCs w:val="24"/>
        </w:rPr>
        <w:t>Nyiramasuhuko</w:t>
      </w:r>
      <w:r w:rsidR="007E26F2">
        <w:rPr>
          <w:rFonts w:ascii="Times New Roman" w:hAnsi="Times New Roman" w:cs="Times New Roman"/>
          <w:sz w:val="24"/>
          <w:szCs w:val="24"/>
        </w:rPr>
        <w:t>, laddove s'impone, ai fini di un'</w:t>
      </w:r>
      <w:r w:rsidR="002E3226">
        <w:rPr>
          <w:rFonts w:ascii="Times New Roman" w:hAnsi="Times New Roman" w:cs="Times New Roman"/>
          <w:sz w:val="24"/>
          <w:szCs w:val="24"/>
        </w:rPr>
        <w:t>individuazione</w:t>
      </w:r>
      <w:r w:rsidR="007E26F2">
        <w:rPr>
          <w:rFonts w:ascii="Times New Roman" w:hAnsi="Times New Roman" w:cs="Times New Roman"/>
          <w:sz w:val="24"/>
          <w:szCs w:val="24"/>
        </w:rPr>
        <w:t xml:space="preserve"> certa dei responsabili, che i testi non si limitino ad esprimere il proprio contributo all'udienza, quello dovendo evidentemente essere corroborato da </w:t>
      </w:r>
      <w:r w:rsidR="00517831">
        <w:rPr>
          <w:rFonts w:ascii="Times New Roman" w:hAnsi="Times New Roman" w:cs="Times New Roman"/>
          <w:sz w:val="24"/>
          <w:szCs w:val="24"/>
        </w:rPr>
        <w:t xml:space="preserve">loro </w:t>
      </w:r>
      <w:r w:rsidR="007E26F2">
        <w:rPr>
          <w:rFonts w:ascii="Times New Roman" w:hAnsi="Times New Roman" w:cs="Times New Roman"/>
          <w:sz w:val="24"/>
          <w:szCs w:val="24"/>
        </w:rPr>
        <w:t>riscontri esterni e precedenti al contesto processuale.</w:t>
      </w:r>
    </w:p>
    <w:p w:rsidR="007E26F2" w:rsidRDefault="007E26F2" w:rsidP="0003046E">
      <w:pPr>
        <w:spacing w:after="0"/>
        <w:jc w:val="both"/>
        <w:rPr>
          <w:rFonts w:ascii="Times New Roman" w:hAnsi="Times New Roman" w:cs="Times New Roman"/>
          <w:sz w:val="24"/>
          <w:szCs w:val="24"/>
        </w:rPr>
      </w:pPr>
      <w:r>
        <w:rPr>
          <w:rFonts w:ascii="Times New Roman" w:hAnsi="Times New Roman" w:cs="Times New Roman"/>
          <w:sz w:val="24"/>
          <w:szCs w:val="24"/>
        </w:rPr>
        <w:tab/>
        <w:t xml:space="preserve">Il rispetto di questa regola permette la formulazione di condanne basate sulle sole testimonianze delle vittime: come in </w:t>
      </w:r>
      <w:r>
        <w:rPr>
          <w:rFonts w:ascii="Times New Roman" w:hAnsi="Times New Roman" w:cs="Times New Roman"/>
          <w:i/>
          <w:sz w:val="24"/>
          <w:szCs w:val="24"/>
        </w:rPr>
        <w:t>Kunarac</w:t>
      </w:r>
      <w:r>
        <w:rPr>
          <w:rFonts w:ascii="Times New Roman" w:hAnsi="Times New Roman" w:cs="Times New Roman"/>
          <w:sz w:val="24"/>
          <w:szCs w:val="24"/>
        </w:rPr>
        <w:t>, anche nel caso ora in commento si sottolinea la massima libertà del Tribunale nell'attribuire un certo peso alle esternazioni delle vittime-testimoni: qualora esse risultino già di per sé credibili – ed aggiungiamo noi: sulla base anche di previ</w:t>
      </w:r>
      <w:r w:rsidR="002C0AD5">
        <w:rPr>
          <w:rFonts w:ascii="Times New Roman" w:hAnsi="Times New Roman" w:cs="Times New Roman"/>
          <w:sz w:val="24"/>
          <w:szCs w:val="24"/>
        </w:rPr>
        <w:t>i</w:t>
      </w:r>
      <w:r>
        <w:rPr>
          <w:rFonts w:ascii="Times New Roman" w:hAnsi="Times New Roman" w:cs="Times New Roman"/>
          <w:sz w:val="24"/>
          <w:szCs w:val="24"/>
        </w:rPr>
        <w:t xml:space="preserve"> contatti tra il teste e gli </w:t>
      </w:r>
      <w:r w:rsidR="009364D3">
        <w:rPr>
          <w:rFonts w:ascii="Times New Roman" w:hAnsi="Times New Roman" w:cs="Times New Roman"/>
          <w:sz w:val="24"/>
          <w:szCs w:val="24"/>
        </w:rPr>
        <w:t>operatori giudiziari</w:t>
      </w:r>
      <w:r>
        <w:rPr>
          <w:rFonts w:ascii="Times New Roman" w:hAnsi="Times New Roman" w:cs="Times New Roman"/>
          <w:sz w:val="24"/>
          <w:szCs w:val="24"/>
        </w:rPr>
        <w:t xml:space="preserve"> –, ne è sufficiente</w:t>
      </w:r>
      <w:r w:rsidR="002E3226">
        <w:rPr>
          <w:rFonts w:ascii="Times New Roman" w:hAnsi="Times New Roman" w:cs="Times New Roman"/>
          <w:sz w:val="24"/>
          <w:szCs w:val="24"/>
        </w:rPr>
        <w:t xml:space="preserve"> </w:t>
      </w:r>
      <w:r>
        <w:rPr>
          <w:rFonts w:ascii="Times New Roman" w:hAnsi="Times New Roman" w:cs="Times New Roman"/>
          <w:sz w:val="24"/>
          <w:szCs w:val="24"/>
        </w:rPr>
        <w:t xml:space="preserve">una sola a </w:t>
      </w:r>
      <w:r w:rsidR="002C0AD5">
        <w:rPr>
          <w:rFonts w:ascii="Times New Roman" w:hAnsi="Times New Roman" w:cs="Times New Roman"/>
          <w:sz w:val="24"/>
          <w:szCs w:val="24"/>
        </w:rPr>
        <w:t>fondare il convincimento della C</w:t>
      </w:r>
      <w:r>
        <w:rPr>
          <w:rFonts w:ascii="Times New Roman" w:hAnsi="Times New Roman" w:cs="Times New Roman"/>
          <w:sz w:val="24"/>
          <w:szCs w:val="24"/>
        </w:rPr>
        <w:t>orte</w:t>
      </w:r>
      <w:r>
        <w:rPr>
          <w:rStyle w:val="Rimandonotaapidipagina"/>
          <w:rFonts w:ascii="Times New Roman" w:hAnsi="Times New Roman" w:cs="Times New Roman"/>
          <w:sz w:val="24"/>
          <w:szCs w:val="24"/>
        </w:rPr>
        <w:footnoteReference w:id="32"/>
      </w:r>
      <w:r>
        <w:rPr>
          <w:rFonts w:ascii="Times New Roman" w:hAnsi="Times New Roman" w:cs="Times New Roman"/>
          <w:sz w:val="24"/>
          <w:szCs w:val="24"/>
        </w:rPr>
        <w:t xml:space="preserve">. </w:t>
      </w:r>
    </w:p>
    <w:p w:rsidR="007E26F2" w:rsidRDefault="007E26F2" w:rsidP="0003046E">
      <w:pPr>
        <w:spacing w:after="0"/>
        <w:jc w:val="both"/>
        <w:rPr>
          <w:rFonts w:ascii="Times New Roman" w:hAnsi="Times New Roman" w:cs="Times New Roman"/>
          <w:sz w:val="24"/>
          <w:szCs w:val="24"/>
        </w:rPr>
      </w:pPr>
      <w:r>
        <w:rPr>
          <w:rFonts w:ascii="Times New Roman" w:hAnsi="Times New Roman" w:cs="Times New Roman"/>
          <w:sz w:val="24"/>
          <w:szCs w:val="24"/>
        </w:rPr>
        <w:tab/>
        <w:t xml:space="preserve">Con un maggiore grado di approfondimento, va compreso quale sia il rapporto tra le dichiarazioni rese </w:t>
      </w:r>
      <w:r w:rsidR="002E3226">
        <w:rPr>
          <w:rFonts w:ascii="Times New Roman" w:hAnsi="Times New Roman" w:cs="Times New Roman"/>
          <w:sz w:val="24"/>
          <w:szCs w:val="24"/>
        </w:rPr>
        <w:t>dalla vittima-teste</w:t>
      </w:r>
      <w:r>
        <w:rPr>
          <w:rFonts w:ascii="Times New Roman" w:hAnsi="Times New Roman" w:cs="Times New Roman"/>
          <w:sz w:val="24"/>
          <w:szCs w:val="24"/>
        </w:rPr>
        <w:t xml:space="preserve"> prima del giudizio e quelle</w:t>
      </w:r>
      <w:r w:rsidR="002E3226">
        <w:rPr>
          <w:rFonts w:ascii="Times New Roman" w:hAnsi="Times New Roman" w:cs="Times New Roman"/>
          <w:sz w:val="24"/>
          <w:szCs w:val="24"/>
        </w:rPr>
        <w:t xml:space="preserve"> da lei</w:t>
      </w:r>
      <w:r>
        <w:rPr>
          <w:rFonts w:ascii="Times New Roman" w:hAnsi="Times New Roman" w:cs="Times New Roman"/>
          <w:sz w:val="24"/>
          <w:szCs w:val="24"/>
        </w:rPr>
        <w:t xml:space="preserve"> offerte al Tribunale in corso di processo.</w:t>
      </w:r>
    </w:p>
    <w:p w:rsidR="00E34F61" w:rsidRDefault="007E26F2" w:rsidP="0003046E">
      <w:pPr>
        <w:spacing w:after="0"/>
        <w:jc w:val="both"/>
        <w:rPr>
          <w:rFonts w:ascii="Times New Roman" w:hAnsi="Times New Roman" w:cs="Times New Roman"/>
          <w:sz w:val="24"/>
          <w:szCs w:val="24"/>
        </w:rPr>
      </w:pPr>
      <w:r>
        <w:rPr>
          <w:rFonts w:ascii="Times New Roman" w:hAnsi="Times New Roman" w:cs="Times New Roman"/>
          <w:sz w:val="24"/>
          <w:szCs w:val="24"/>
        </w:rPr>
        <w:tab/>
        <w:t xml:space="preserve">L'art. 90(A) ICTR RPE </w:t>
      </w:r>
      <w:r w:rsidR="00A0394B">
        <w:rPr>
          <w:rFonts w:ascii="Times New Roman" w:hAnsi="Times New Roman" w:cs="Times New Roman"/>
          <w:sz w:val="24"/>
          <w:szCs w:val="24"/>
        </w:rPr>
        <w:t xml:space="preserve">attribuisce rilievo, ai fini della formazione della prova, solo a quanto riferito all'organo chiamato </w:t>
      </w:r>
      <w:r w:rsidR="00414E2A">
        <w:rPr>
          <w:rFonts w:ascii="Times New Roman" w:hAnsi="Times New Roman" w:cs="Times New Roman"/>
          <w:sz w:val="24"/>
          <w:szCs w:val="24"/>
        </w:rPr>
        <w:t>a giudicare la</w:t>
      </w:r>
      <w:r w:rsidR="00A0394B">
        <w:rPr>
          <w:rFonts w:ascii="Times New Roman" w:hAnsi="Times New Roman" w:cs="Times New Roman"/>
          <w:sz w:val="24"/>
          <w:szCs w:val="24"/>
        </w:rPr>
        <w:t xml:space="preserve"> responsabilità degli imputati: si è, però, visto che deposizioni extra</w:t>
      </w:r>
      <w:r w:rsidR="00857B40">
        <w:rPr>
          <w:rFonts w:ascii="Times New Roman" w:hAnsi="Times New Roman" w:cs="Times New Roman"/>
          <w:sz w:val="24"/>
          <w:szCs w:val="24"/>
        </w:rPr>
        <w:t>-</w:t>
      </w:r>
      <w:r w:rsidR="00A0394B">
        <w:rPr>
          <w:rFonts w:ascii="Times New Roman" w:hAnsi="Times New Roman" w:cs="Times New Roman"/>
          <w:sz w:val="24"/>
          <w:szCs w:val="24"/>
        </w:rPr>
        <w:t xml:space="preserve"> (o, meglio, pre-) processuali sono possibili. Ebbene, esse servono unicamente </w:t>
      </w:r>
      <w:r w:rsidR="00CB6FD5">
        <w:rPr>
          <w:rFonts w:ascii="Times New Roman" w:hAnsi="Times New Roman" w:cs="Times New Roman"/>
          <w:sz w:val="24"/>
          <w:szCs w:val="24"/>
        </w:rPr>
        <w:t xml:space="preserve">al </w:t>
      </w:r>
      <w:r w:rsidR="00CB6FD5">
        <w:rPr>
          <w:rFonts w:ascii="Times New Roman" w:hAnsi="Times New Roman" w:cs="Times New Roman"/>
          <w:i/>
          <w:sz w:val="24"/>
          <w:szCs w:val="24"/>
        </w:rPr>
        <w:t>test</w:t>
      </w:r>
      <w:r w:rsidR="00A0394B">
        <w:rPr>
          <w:rFonts w:ascii="Times New Roman" w:hAnsi="Times New Roman" w:cs="Times New Roman"/>
          <w:sz w:val="24"/>
          <w:szCs w:val="24"/>
        </w:rPr>
        <w:t xml:space="preserve"> </w:t>
      </w:r>
      <w:r w:rsidR="00CB6FD5">
        <w:rPr>
          <w:rFonts w:ascii="Times New Roman" w:hAnsi="Times New Roman" w:cs="Times New Roman"/>
          <w:sz w:val="24"/>
          <w:szCs w:val="24"/>
        </w:rPr>
        <w:t>sulla</w:t>
      </w:r>
      <w:r w:rsidR="00A0394B">
        <w:rPr>
          <w:rFonts w:ascii="Times New Roman" w:hAnsi="Times New Roman" w:cs="Times New Roman"/>
          <w:sz w:val="24"/>
          <w:szCs w:val="24"/>
        </w:rPr>
        <w:t xml:space="preserve"> credibilità del </w:t>
      </w:r>
      <w:r w:rsidR="00CB6FD5">
        <w:rPr>
          <w:rFonts w:ascii="Times New Roman" w:hAnsi="Times New Roman" w:cs="Times New Roman"/>
          <w:sz w:val="24"/>
          <w:szCs w:val="24"/>
        </w:rPr>
        <w:t>dichiarante</w:t>
      </w:r>
      <w:r w:rsidR="00A0394B">
        <w:rPr>
          <w:rFonts w:ascii="Times New Roman" w:hAnsi="Times New Roman" w:cs="Times New Roman"/>
          <w:sz w:val="24"/>
          <w:szCs w:val="24"/>
        </w:rPr>
        <w:t xml:space="preserve">. Così, allorquando un teste riferisca i </w:t>
      </w:r>
      <w:r w:rsidR="002C0AD5">
        <w:rPr>
          <w:rFonts w:ascii="Times New Roman" w:hAnsi="Times New Roman" w:cs="Times New Roman"/>
          <w:sz w:val="24"/>
          <w:szCs w:val="24"/>
        </w:rPr>
        <w:t>fatti in un modo che indicherem</w:t>
      </w:r>
      <w:r w:rsidR="00A0394B">
        <w:rPr>
          <w:rFonts w:ascii="Times New Roman" w:hAnsi="Times New Roman" w:cs="Times New Roman"/>
          <w:sz w:val="24"/>
          <w:szCs w:val="24"/>
        </w:rPr>
        <w:t xml:space="preserve">o "A" prima del processo, passando ad una versione "B" davanti ai giudici, questi ultimi conservano un ampio spazio discrezionale nel giudicare l'attendibilità del </w:t>
      </w:r>
      <w:r w:rsidR="00CB6FD5">
        <w:rPr>
          <w:rFonts w:ascii="Times New Roman" w:hAnsi="Times New Roman" w:cs="Times New Roman"/>
          <w:i/>
          <w:sz w:val="24"/>
          <w:szCs w:val="24"/>
        </w:rPr>
        <w:t>loquens</w:t>
      </w:r>
      <w:r w:rsidR="002C0AD5">
        <w:rPr>
          <w:rFonts w:ascii="Times New Roman" w:hAnsi="Times New Roman" w:cs="Times New Roman"/>
          <w:sz w:val="24"/>
          <w:szCs w:val="24"/>
        </w:rPr>
        <w:t>. I</w:t>
      </w:r>
      <w:r w:rsidR="00A0394B">
        <w:rPr>
          <w:rFonts w:ascii="Times New Roman" w:hAnsi="Times New Roman" w:cs="Times New Roman"/>
          <w:sz w:val="24"/>
          <w:szCs w:val="24"/>
        </w:rPr>
        <w:t xml:space="preserve">n particolare, la sentenza </w:t>
      </w:r>
      <w:r w:rsidR="00A0394B">
        <w:rPr>
          <w:rFonts w:ascii="Times New Roman" w:hAnsi="Times New Roman" w:cs="Times New Roman"/>
          <w:i/>
          <w:sz w:val="24"/>
          <w:szCs w:val="24"/>
        </w:rPr>
        <w:t>Nyiramasuhuko</w:t>
      </w:r>
      <w:r w:rsidR="00A0394B">
        <w:rPr>
          <w:rFonts w:ascii="Times New Roman" w:hAnsi="Times New Roman" w:cs="Times New Roman"/>
          <w:sz w:val="24"/>
          <w:szCs w:val="24"/>
        </w:rPr>
        <w:t xml:space="preserve"> esemplifica talune situazioni che possono incidere su tale </w:t>
      </w:r>
      <w:r w:rsidR="00CB6FD5">
        <w:rPr>
          <w:rFonts w:ascii="Times New Roman" w:hAnsi="Times New Roman" w:cs="Times New Roman"/>
          <w:sz w:val="24"/>
          <w:szCs w:val="24"/>
        </w:rPr>
        <w:t>controllo</w:t>
      </w:r>
      <w:r w:rsidR="002C0AD5">
        <w:rPr>
          <w:rFonts w:ascii="Times New Roman" w:hAnsi="Times New Roman" w:cs="Times New Roman"/>
          <w:sz w:val="24"/>
          <w:szCs w:val="24"/>
        </w:rPr>
        <w:t>: t</w:t>
      </w:r>
      <w:r w:rsidR="00A0394B">
        <w:rPr>
          <w:rFonts w:ascii="Times New Roman" w:hAnsi="Times New Roman" w:cs="Times New Roman"/>
          <w:sz w:val="24"/>
          <w:szCs w:val="24"/>
        </w:rPr>
        <w:t>ra di esse v'è l'area dell'incertezza</w:t>
      </w:r>
      <w:r w:rsidR="00CB6FD5">
        <w:rPr>
          <w:rFonts w:ascii="Times New Roman" w:hAnsi="Times New Roman" w:cs="Times New Roman"/>
          <w:sz w:val="24"/>
          <w:szCs w:val="24"/>
        </w:rPr>
        <w:t xml:space="preserve"> nel racconto dei fatti</w:t>
      </w:r>
      <w:r w:rsidR="002C0AD5">
        <w:rPr>
          <w:rFonts w:ascii="Times New Roman" w:hAnsi="Times New Roman" w:cs="Times New Roman"/>
          <w:sz w:val="24"/>
          <w:szCs w:val="24"/>
        </w:rPr>
        <w:t>, dovendo la C</w:t>
      </w:r>
      <w:r w:rsidR="00A0394B">
        <w:rPr>
          <w:rFonts w:ascii="Times New Roman" w:hAnsi="Times New Roman" w:cs="Times New Roman"/>
          <w:sz w:val="24"/>
          <w:szCs w:val="24"/>
        </w:rPr>
        <w:t xml:space="preserve">orte comprendere se essa si riferisce a questioni collaterali rispetto all'imputazione o ad ambiti di capitale importanza per l'accertamento del reato; ancora, talune incongruenze possono derivare da fattori culturali, di lingua o da problemi di interpretazione delle stesse domande formulate dal Tribunale; essendo, poi, quella ginocidiaria una condotta caratterizzata da </w:t>
      </w:r>
      <w:r w:rsidR="00A0394B">
        <w:rPr>
          <w:rFonts w:ascii="Times New Roman" w:hAnsi="Times New Roman" w:cs="Times New Roman"/>
          <w:sz w:val="24"/>
          <w:szCs w:val="24"/>
        </w:rPr>
        <w:lastRenderedPageBreak/>
        <w:t>forte ripetitività</w:t>
      </w:r>
      <w:r w:rsidR="00A0394B">
        <w:rPr>
          <w:rStyle w:val="Rimandonotaapidipagina"/>
          <w:rFonts w:ascii="Times New Roman" w:hAnsi="Times New Roman" w:cs="Times New Roman"/>
          <w:sz w:val="24"/>
          <w:szCs w:val="24"/>
        </w:rPr>
        <w:footnoteReference w:id="33"/>
      </w:r>
      <w:r w:rsidR="00A0394B">
        <w:rPr>
          <w:rFonts w:ascii="Times New Roman" w:hAnsi="Times New Roman" w:cs="Times New Roman"/>
          <w:sz w:val="24"/>
          <w:szCs w:val="24"/>
        </w:rPr>
        <w:t>, ben può accadere che la vittima-teste sia in difficoltà nel richiamare date o particolari specifici rispetto ad eventi continui o sistematici; in ultimo, non bisogna sottacere le implicazioni sul piano psichico che derivano da eventi quali quelli che formano oggetto del processo di cui si tratta</w:t>
      </w:r>
      <w:r w:rsidR="00A0394B">
        <w:rPr>
          <w:rStyle w:val="Rimandonotaapidipagina"/>
          <w:rFonts w:ascii="Times New Roman" w:hAnsi="Times New Roman" w:cs="Times New Roman"/>
          <w:sz w:val="24"/>
          <w:szCs w:val="24"/>
        </w:rPr>
        <w:footnoteReference w:id="34"/>
      </w:r>
      <w:r w:rsidR="00A96562">
        <w:rPr>
          <w:rFonts w:ascii="Times New Roman" w:hAnsi="Times New Roman" w:cs="Times New Roman"/>
          <w:sz w:val="24"/>
          <w:szCs w:val="24"/>
        </w:rPr>
        <w:t>.</w:t>
      </w:r>
    </w:p>
    <w:p w:rsidR="00A96562" w:rsidRDefault="00A96562" w:rsidP="0003046E">
      <w:pPr>
        <w:spacing w:after="0"/>
        <w:jc w:val="both"/>
        <w:rPr>
          <w:rFonts w:ascii="Times New Roman" w:hAnsi="Times New Roman" w:cs="Times New Roman"/>
          <w:sz w:val="24"/>
          <w:szCs w:val="24"/>
        </w:rPr>
      </w:pPr>
      <w:r>
        <w:rPr>
          <w:rFonts w:ascii="Times New Roman" w:hAnsi="Times New Roman" w:cs="Times New Roman"/>
          <w:sz w:val="24"/>
          <w:szCs w:val="24"/>
        </w:rPr>
        <w:tab/>
        <w:t>Per converso, la coerenza tra</w:t>
      </w:r>
      <w:r w:rsidR="00A45F36">
        <w:rPr>
          <w:rFonts w:ascii="Times New Roman" w:hAnsi="Times New Roman" w:cs="Times New Roman"/>
          <w:sz w:val="24"/>
          <w:szCs w:val="24"/>
        </w:rPr>
        <w:t xml:space="preserve"> le</w:t>
      </w:r>
      <w:r>
        <w:rPr>
          <w:rFonts w:ascii="Times New Roman" w:hAnsi="Times New Roman" w:cs="Times New Roman"/>
          <w:sz w:val="24"/>
          <w:szCs w:val="24"/>
        </w:rPr>
        <w:t xml:space="preserve"> dichiarazioni pre-giudiziali e</w:t>
      </w:r>
      <w:r w:rsidR="00A45F36">
        <w:rPr>
          <w:rFonts w:ascii="Times New Roman" w:hAnsi="Times New Roman" w:cs="Times New Roman"/>
          <w:sz w:val="24"/>
          <w:szCs w:val="24"/>
        </w:rPr>
        <w:t xml:space="preserve"> quelle</w:t>
      </w:r>
      <w:r>
        <w:rPr>
          <w:rFonts w:ascii="Times New Roman" w:hAnsi="Times New Roman" w:cs="Times New Roman"/>
          <w:sz w:val="24"/>
          <w:szCs w:val="24"/>
        </w:rPr>
        <w:t xml:space="preserve"> rese in dibattimento non è di per sé segnale di attendibilità del teste</w:t>
      </w:r>
      <w:r w:rsidR="00A45F36">
        <w:rPr>
          <w:rStyle w:val="Rimandonotaapidipagina"/>
          <w:rFonts w:ascii="Times New Roman" w:hAnsi="Times New Roman" w:cs="Times New Roman"/>
          <w:sz w:val="24"/>
          <w:szCs w:val="24"/>
        </w:rPr>
        <w:footnoteReference w:id="35"/>
      </w:r>
      <w:r w:rsidR="00A45F36">
        <w:rPr>
          <w:rFonts w:ascii="Times New Roman" w:hAnsi="Times New Roman" w:cs="Times New Roman"/>
          <w:sz w:val="24"/>
          <w:szCs w:val="24"/>
        </w:rPr>
        <w:t xml:space="preserve">, dovendosi sempre effettuare un complessivo vaglio che sappia </w:t>
      </w:r>
      <w:r w:rsidR="002C0AD5">
        <w:rPr>
          <w:rFonts w:ascii="Times New Roman" w:hAnsi="Times New Roman" w:cs="Times New Roman"/>
          <w:sz w:val="24"/>
          <w:szCs w:val="24"/>
        </w:rPr>
        <w:t>considerare</w:t>
      </w:r>
      <w:r w:rsidR="00A45F36">
        <w:rPr>
          <w:rFonts w:ascii="Times New Roman" w:hAnsi="Times New Roman" w:cs="Times New Roman"/>
          <w:sz w:val="24"/>
          <w:szCs w:val="24"/>
        </w:rPr>
        <w:t xml:space="preserve"> </w:t>
      </w:r>
      <w:r w:rsidR="002C0AD5">
        <w:rPr>
          <w:rFonts w:ascii="Times New Roman" w:hAnsi="Times New Roman" w:cs="Times New Roman"/>
          <w:sz w:val="24"/>
          <w:szCs w:val="24"/>
        </w:rPr>
        <w:t>l’insieme</w:t>
      </w:r>
      <w:r w:rsidR="00A45F36">
        <w:rPr>
          <w:rFonts w:ascii="Times New Roman" w:hAnsi="Times New Roman" w:cs="Times New Roman"/>
          <w:sz w:val="24"/>
          <w:szCs w:val="24"/>
        </w:rPr>
        <w:t xml:space="preserve"> dei parametri </w:t>
      </w:r>
      <w:r w:rsidR="00857B40">
        <w:rPr>
          <w:rFonts w:ascii="Times New Roman" w:hAnsi="Times New Roman" w:cs="Times New Roman"/>
          <w:sz w:val="24"/>
          <w:szCs w:val="24"/>
        </w:rPr>
        <w:t>appena</w:t>
      </w:r>
      <w:r w:rsidR="00A45F36">
        <w:rPr>
          <w:rFonts w:ascii="Times New Roman" w:hAnsi="Times New Roman" w:cs="Times New Roman"/>
          <w:sz w:val="24"/>
          <w:szCs w:val="24"/>
        </w:rPr>
        <w:t xml:space="preserve"> esaminati. </w:t>
      </w:r>
    </w:p>
    <w:p w:rsidR="00A45F36" w:rsidRDefault="00A45F36" w:rsidP="0003046E">
      <w:pPr>
        <w:spacing w:after="0"/>
        <w:jc w:val="both"/>
        <w:rPr>
          <w:rFonts w:ascii="Times New Roman" w:hAnsi="Times New Roman" w:cs="Times New Roman"/>
          <w:sz w:val="24"/>
          <w:szCs w:val="24"/>
        </w:rPr>
      </w:pPr>
      <w:r>
        <w:rPr>
          <w:rFonts w:ascii="Times New Roman" w:hAnsi="Times New Roman" w:cs="Times New Roman"/>
          <w:sz w:val="24"/>
          <w:szCs w:val="24"/>
        </w:rPr>
        <w:tab/>
        <w:t xml:space="preserve">Insomma, in </w:t>
      </w:r>
      <w:r>
        <w:rPr>
          <w:rFonts w:ascii="Times New Roman" w:hAnsi="Times New Roman" w:cs="Times New Roman"/>
          <w:i/>
          <w:sz w:val="24"/>
          <w:szCs w:val="24"/>
        </w:rPr>
        <w:t>Nyiramasuhuko</w:t>
      </w:r>
      <w:r>
        <w:rPr>
          <w:rFonts w:ascii="Times New Roman" w:hAnsi="Times New Roman" w:cs="Times New Roman"/>
          <w:sz w:val="24"/>
          <w:szCs w:val="24"/>
        </w:rPr>
        <w:t xml:space="preserve"> il Tribunale offre una panoramica delle regole di valutazione della prova dichiarativa: sono, in effetti, poche norme che si fondano sulla necessità di saggiare la credibilità del teste e che variano di ampiezza a seconda delle peculiarità del caso concreto. Mette, poi, conto di notare che il principio </w:t>
      </w:r>
      <w:r w:rsidR="002C0AD5">
        <w:rPr>
          <w:rFonts w:ascii="Times New Roman" w:hAnsi="Times New Roman" w:cs="Times New Roman"/>
          <w:sz w:val="24"/>
          <w:szCs w:val="24"/>
        </w:rPr>
        <w:t>del libero convincimento della C</w:t>
      </w:r>
      <w:r>
        <w:rPr>
          <w:rFonts w:ascii="Times New Roman" w:hAnsi="Times New Roman" w:cs="Times New Roman"/>
          <w:sz w:val="24"/>
          <w:szCs w:val="24"/>
        </w:rPr>
        <w:t xml:space="preserve">orte viene sancito tanto nel caso in cui ci si trovi a contatto con una vittima chiamata a testimoniare, quanto in quello nel quale i </w:t>
      </w:r>
      <w:r>
        <w:rPr>
          <w:rFonts w:ascii="Times New Roman" w:hAnsi="Times New Roman" w:cs="Times New Roman"/>
          <w:i/>
          <w:sz w:val="24"/>
          <w:szCs w:val="24"/>
        </w:rPr>
        <w:t>dicta</w:t>
      </w:r>
      <w:r>
        <w:rPr>
          <w:rFonts w:ascii="Times New Roman" w:hAnsi="Times New Roman" w:cs="Times New Roman"/>
          <w:sz w:val="24"/>
          <w:szCs w:val="24"/>
        </w:rPr>
        <w:t xml:space="preserve"> provengano da un co-imputato, com'è nel caso di specie, laddove la responsabilità dell'ex ministro fu accertata assieme a quella di altri suoi cinque comprimari nell'eccidio dei Tutsi nella primavera del 1994. </w:t>
      </w:r>
    </w:p>
    <w:p w:rsidR="00B503BA" w:rsidRPr="001E1494" w:rsidRDefault="00B503BA" w:rsidP="0003046E">
      <w:pPr>
        <w:spacing w:after="0"/>
        <w:jc w:val="both"/>
        <w:rPr>
          <w:rFonts w:ascii="Times New Roman" w:hAnsi="Times New Roman" w:cs="Times New Roman"/>
          <w:sz w:val="24"/>
          <w:szCs w:val="24"/>
        </w:rPr>
      </w:pPr>
      <w:r>
        <w:rPr>
          <w:rFonts w:ascii="Times New Roman" w:hAnsi="Times New Roman" w:cs="Times New Roman"/>
          <w:sz w:val="24"/>
          <w:szCs w:val="24"/>
        </w:rPr>
        <w:tab/>
        <w:t xml:space="preserve">Esaminando gli atti del processo a Pauline Nyiramasuhuko, ciò che risulta evidente è anzitutto la preoccupazione di ricostruire i fatti secondo un percorso argomentativo che valorizzi anzitutto il racconto delle vittime. Scendendo più nello specifico, e con un esempio, </w:t>
      </w:r>
      <w:r w:rsidR="00371008">
        <w:rPr>
          <w:rFonts w:ascii="Times New Roman" w:hAnsi="Times New Roman" w:cs="Times New Roman"/>
          <w:sz w:val="24"/>
          <w:szCs w:val="24"/>
        </w:rPr>
        <w:t>uno dei testimoni uditi a processo è indicato con l'acronimo RL: tredicenne di etnia Tutsi nel 1994, egli offre un racconto dettagliato delle persecuzioni patite dal proprio gruppo per mano dell</w:t>
      </w:r>
      <w:r w:rsidR="001E1494">
        <w:rPr>
          <w:rFonts w:ascii="Times New Roman" w:hAnsi="Times New Roman" w:cs="Times New Roman"/>
          <w:sz w:val="24"/>
          <w:szCs w:val="24"/>
        </w:rPr>
        <w:t>'</w:t>
      </w:r>
      <w:r w:rsidR="00371008" w:rsidRPr="00371008">
        <w:rPr>
          <w:rFonts w:ascii="Times New Roman" w:hAnsi="Times New Roman" w:cs="Times New Roman"/>
          <w:i/>
          <w:sz w:val="24"/>
          <w:szCs w:val="24"/>
        </w:rPr>
        <w:t>Interahamwe</w:t>
      </w:r>
      <w:r w:rsidR="00371008">
        <w:rPr>
          <w:rFonts w:ascii="Times New Roman" w:hAnsi="Times New Roman" w:cs="Times New Roman"/>
          <w:sz w:val="24"/>
          <w:szCs w:val="24"/>
        </w:rPr>
        <w:t xml:space="preserve">; la </w:t>
      </w:r>
      <w:r w:rsidR="00371008">
        <w:rPr>
          <w:rFonts w:ascii="Times New Roman" w:hAnsi="Times New Roman" w:cs="Times New Roman"/>
          <w:i/>
          <w:sz w:val="24"/>
          <w:szCs w:val="24"/>
        </w:rPr>
        <w:t>cross-examination</w:t>
      </w:r>
      <w:r w:rsidR="00371008">
        <w:rPr>
          <w:rFonts w:ascii="Times New Roman" w:hAnsi="Times New Roman" w:cs="Times New Roman"/>
          <w:sz w:val="24"/>
          <w:szCs w:val="24"/>
        </w:rPr>
        <w:t xml:space="preserve"> è impiegata come tecnica necessaria ad avvalorare la tesi del </w:t>
      </w:r>
      <w:r w:rsidR="00371008">
        <w:rPr>
          <w:rFonts w:ascii="Times New Roman" w:hAnsi="Times New Roman" w:cs="Times New Roman"/>
          <w:i/>
          <w:sz w:val="24"/>
          <w:szCs w:val="24"/>
        </w:rPr>
        <w:t>Prosecutor</w:t>
      </w:r>
      <w:r w:rsidR="00371008">
        <w:rPr>
          <w:rFonts w:ascii="Times New Roman" w:hAnsi="Times New Roman" w:cs="Times New Roman"/>
          <w:sz w:val="24"/>
          <w:szCs w:val="24"/>
        </w:rPr>
        <w:t xml:space="preserve"> che si tratti</w:t>
      </w:r>
      <w:r w:rsidR="00655061">
        <w:rPr>
          <w:rFonts w:ascii="Times New Roman" w:hAnsi="Times New Roman" w:cs="Times New Roman"/>
          <w:sz w:val="24"/>
          <w:szCs w:val="24"/>
        </w:rPr>
        <w:t>, cioè,</w:t>
      </w:r>
      <w:r w:rsidR="00371008">
        <w:rPr>
          <w:rFonts w:ascii="Times New Roman" w:hAnsi="Times New Roman" w:cs="Times New Roman"/>
          <w:sz w:val="24"/>
          <w:szCs w:val="24"/>
        </w:rPr>
        <w:t xml:space="preserve"> di testimone attendibile, poiché fu in grado di riconoscere distintamente uno tra gli imputati nell'atto di commettere i delitti per cui si procede. </w:t>
      </w:r>
      <w:r w:rsidR="001E1494">
        <w:rPr>
          <w:rFonts w:ascii="Times New Roman" w:hAnsi="Times New Roman" w:cs="Times New Roman"/>
          <w:sz w:val="24"/>
          <w:szCs w:val="24"/>
        </w:rPr>
        <w:t xml:space="preserve">Proprio come di fronte al Tribunale </w:t>
      </w:r>
      <w:r w:rsidR="002C0AD5">
        <w:rPr>
          <w:rFonts w:ascii="Times New Roman" w:hAnsi="Times New Roman" w:cs="Times New Roman"/>
          <w:sz w:val="24"/>
          <w:szCs w:val="24"/>
        </w:rPr>
        <w:t>per la ex Jugoslavia, anche la C</w:t>
      </w:r>
      <w:r w:rsidR="001E1494">
        <w:rPr>
          <w:rFonts w:ascii="Times New Roman" w:hAnsi="Times New Roman" w:cs="Times New Roman"/>
          <w:sz w:val="24"/>
          <w:szCs w:val="24"/>
        </w:rPr>
        <w:t>orte per il Ruanda impiega</w:t>
      </w:r>
      <w:r w:rsidR="00655061">
        <w:rPr>
          <w:rFonts w:ascii="Times New Roman" w:hAnsi="Times New Roman" w:cs="Times New Roman"/>
          <w:sz w:val="24"/>
          <w:szCs w:val="24"/>
        </w:rPr>
        <w:t>, poi,</w:t>
      </w:r>
      <w:r w:rsidR="001E1494">
        <w:rPr>
          <w:rFonts w:ascii="Times New Roman" w:hAnsi="Times New Roman" w:cs="Times New Roman"/>
          <w:sz w:val="24"/>
          <w:szCs w:val="24"/>
        </w:rPr>
        <w:t xml:space="preserve"> le deposizioni di ciascun teste per saggiare la solidità delle altre: sempre RL è, infatti, chiamato a spiegare i </w:t>
      </w:r>
      <w:r w:rsidR="00655061">
        <w:rPr>
          <w:rFonts w:ascii="Times New Roman" w:hAnsi="Times New Roman" w:cs="Times New Roman"/>
          <w:sz w:val="24"/>
          <w:szCs w:val="24"/>
        </w:rPr>
        <w:t>propri</w:t>
      </w:r>
      <w:r w:rsidR="001E1494">
        <w:rPr>
          <w:rFonts w:ascii="Times New Roman" w:hAnsi="Times New Roman" w:cs="Times New Roman"/>
          <w:sz w:val="24"/>
          <w:szCs w:val="24"/>
        </w:rPr>
        <w:t xml:space="preserve"> rapporti con il testimone QI, con particolare riguardo ad eventuali loro scambi di informazioni in ordine ad alcuni fatti di sangue occorsi nell</w:t>
      </w:r>
      <w:r w:rsidR="00655061">
        <w:rPr>
          <w:rFonts w:ascii="Times New Roman" w:hAnsi="Times New Roman" w:cs="Times New Roman"/>
          <w:sz w:val="24"/>
          <w:szCs w:val="24"/>
        </w:rPr>
        <w:t>a</w:t>
      </w:r>
      <w:r w:rsidR="001E1494">
        <w:rPr>
          <w:rFonts w:ascii="Times New Roman" w:hAnsi="Times New Roman" w:cs="Times New Roman"/>
          <w:sz w:val="24"/>
          <w:szCs w:val="24"/>
        </w:rPr>
        <w:t xml:space="preserve"> chies</w:t>
      </w:r>
      <w:r w:rsidR="00655061">
        <w:rPr>
          <w:rFonts w:ascii="Times New Roman" w:hAnsi="Times New Roman" w:cs="Times New Roman"/>
          <w:sz w:val="24"/>
          <w:szCs w:val="24"/>
        </w:rPr>
        <w:t>a</w:t>
      </w:r>
      <w:r w:rsidR="001E1494">
        <w:rPr>
          <w:rFonts w:ascii="Times New Roman" w:hAnsi="Times New Roman" w:cs="Times New Roman"/>
          <w:sz w:val="24"/>
          <w:szCs w:val="24"/>
        </w:rPr>
        <w:t xml:space="preserve"> di Ngoma e </w:t>
      </w:r>
      <w:r w:rsidR="00655061">
        <w:rPr>
          <w:rFonts w:ascii="Times New Roman" w:hAnsi="Times New Roman" w:cs="Times New Roman"/>
          <w:sz w:val="24"/>
          <w:szCs w:val="24"/>
        </w:rPr>
        <w:t xml:space="preserve">nella clinica </w:t>
      </w:r>
      <w:r w:rsidR="001E1494">
        <w:rPr>
          <w:rFonts w:ascii="Times New Roman" w:hAnsi="Times New Roman" w:cs="Times New Roman"/>
          <w:sz w:val="24"/>
          <w:szCs w:val="24"/>
        </w:rPr>
        <w:t>di Matyazo nel 1994</w:t>
      </w:r>
      <w:r w:rsidR="00BD720C">
        <w:rPr>
          <w:rStyle w:val="Rimandonotaapidipagina"/>
          <w:rFonts w:ascii="Times New Roman" w:hAnsi="Times New Roman" w:cs="Times New Roman"/>
          <w:sz w:val="24"/>
          <w:szCs w:val="24"/>
        </w:rPr>
        <w:footnoteReference w:id="36"/>
      </w:r>
      <w:r w:rsidR="001E1494">
        <w:rPr>
          <w:rFonts w:ascii="Times New Roman" w:hAnsi="Times New Roman" w:cs="Times New Roman"/>
          <w:sz w:val="24"/>
          <w:szCs w:val="24"/>
        </w:rPr>
        <w:t xml:space="preserve">. </w:t>
      </w:r>
      <w:r w:rsidR="001E1494">
        <w:rPr>
          <w:rFonts w:ascii="Times New Roman" w:hAnsi="Times New Roman" w:cs="Times New Roman"/>
          <w:i/>
          <w:sz w:val="24"/>
          <w:szCs w:val="24"/>
        </w:rPr>
        <w:t>Cross examination</w:t>
      </w:r>
      <w:r w:rsidR="001E1494">
        <w:rPr>
          <w:rFonts w:ascii="Times New Roman" w:hAnsi="Times New Roman" w:cs="Times New Roman"/>
          <w:sz w:val="24"/>
          <w:szCs w:val="24"/>
        </w:rPr>
        <w:t xml:space="preserve"> e controlli incrociati nei contenuti dei </w:t>
      </w:r>
      <w:r w:rsidR="001E1494">
        <w:rPr>
          <w:rFonts w:ascii="Times New Roman" w:hAnsi="Times New Roman" w:cs="Times New Roman"/>
          <w:i/>
          <w:sz w:val="24"/>
          <w:szCs w:val="24"/>
        </w:rPr>
        <w:t>dicta</w:t>
      </w:r>
      <w:r w:rsidR="001E1494">
        <w:rPr>
          <w:rFonts w:ascii="Times New Roman" w:hAnsi="Times New Roman" w:cs="Times New Roman"/>
          <w:sz w:val="24"/>
          <w:szCs w:val="24"/>
        </w:rPr>
        <w:t xml:space="preserve"> testimoniali sono i principali veicoli di ricostruzione degli eccidi ruandesi in cui la Nyiramasuhuko e gli altri imputati appaiono coinvolti. </w:t>
      </w:r>
    </w:p>
    <w:p w:rsidR="00784A2E" w:rsidRDefault="00784A2E" w:rsidP="0003046E">
      <w:pPr>
        <w:spacing w:after="0"/>
        <w:jc w:val="both"/>
        <w:rPr>
          <w:rFonts w:ascii="Times New Roman" w:hAnsi="Times New Roman" w:cs="Times New Roman"/>
          <w:sz w:val="24"/>
          <w:szCs w:val="24"/>
        </w:rPr>
      </w:pPr>
      <w:r>
        <w:rPr>
          <w:rFonts w:ascii="Times New Roman" w:hAnsi="Times New Roman" w:cs="Times New Roman"/>
          <w:sz w:val="24"/>
          <w:szCs w:val="24"/>
        </w:rPr>
        <w:tab/>
        <w:t xml:space="preserve">Insomma, il caso appena esaminato, come </w:t>
      </w:r>
      <w:r>
        <w:rPr>
          <w:rFonts w:ascii="Times New Roman" w:hAnsi="Times New Roman" w:cs="Times New Roman"/>
          <w:i/>
          <w:sz w:val="24"/>
          <w:szCs w:val="24"/>
        </w:rPr>
        <w:t>Kunarac</w:t>
      </w:r>
      <w:r>
        <w:rPr>
          <w:rFonts w:ascii="Times New Roman" w:hAnsi="Times New Roman" w:cs="Times New Roman"/>
          <w:sz w:val="24"/>
          <w:szCs w:val="24"/>
        </w:rPr>
        <w:t>, offr</w:t>
      </w:r>
      <w:r w:rsidR="00CB6FD5">
        <w:rPr>
          <w:rFonts w:ascii="Times New Roman" w:hAnsi="Times New Roman" w:cs="Times New Roman"/>
          <w:sz w:val="24"/>
          <w:szCs w:val="24"/>
        </w:rPr>
        <w:t>e</w:t>
      </w:r>
      <w:r>
        <w:rPr>
          <w:rFonts w:ascii="Times New Roman" w:hAnsi="Times New Roman" w:cs="Times New Roman"/>
          <w:sz w:val="24"/>
          <w:szCs w:val="24"/>
        </w:rPr>
        <w:t xml:space="preserve"> l'esempio di alcune </w:t>
      </w:r>
      <w:r>
        <w:rPr>
          <w:rFonts w:ascii="Times New Roman" w:hAnsi="Times New Roman" w:cs="Times New Roman"/>
          <w:i/>
          <w:sz w:val="24"/>
          <w:szCs w:val="24"/>
        </w:rPr>
        <w:t>guidelines</w:t>
      </w:r>
      <w:r>
        <w:rPr>
          <w:rFonts w:ascii="Times New Roman" w:hAnsi="Times New Roman" w:cs="Times New Roman"/>
          <w:sz w:val="24"/>
          <w:szCs w:val="24"/>
        </w:rPr>
        <w:t xml:space="preserve"> seguite dai giudici internazionali nella formazione della prova dichiarativa del reato ginocidiario: </w:t>
      </w:r>
      <w:r w:rsidR="00CB6FD5">
        <w:rPr>
          <w:rFonts w:ascii="Times New Roman" w:hAnsi="Times New Roman" w:cs="Times New Roman"/>
          <w:sz w:val="24"/>
          <w:szCs w:val="24"/>
        </w:rPr>
        <w:t xml:space="preserve">e </w:t>
      </w:r>
      <w:r>
        <w:rPr>
          <w:rFonts w:ascii="Times New Roman" w:hAnsi="Times New Roman" w:cs="Times New Roman"/>
          <w:sz w:val="24"/>
          <w:szCs w:val="24"/>
        </w:rPr>
        <w:t>con maggiore precisione, esse dimostrano la prima fase dell'</w:t>
      </w:r>
      <w:r>
        <w:rPr>
          <w:rFonts w:ascii="Times New Roman" w:hAnsi="Times New Roman" w:cs="Times New Roman"/>
          <w:i/>
          <w:sz w:val="24"/>
          <w:szCs w:val="24"/>
        </w:rPr>
        <w:t>iter</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descritto nel paragrafo di apertura del </w:t>
      </w:r>
      <w:r w:rsidR="002C0AD5">
        <w:rPr>
          <w:rFonts w:ascii="Times New Roman" w:hAnsi="Times New Roman" w:cs="Times New Roman"/>
          <w:sz w:val="24"/>
          <w:szCs w:val="24"/>
        </w:rPr>
        <w:t>presente lavoro, servendosi le C</w:t>
      </w:r>
      <w:r>
        <w:rPr>
          <w:rFonts w:ascii="Times New Roman" w:hAnsi="Times New Roman" w:cs="Times New Roman"/>
          <w:sz w:val="24"/>
          <w:szCs w:val="24"/>
        </w:rPr>
        <w:t xml:space="preserve">orti delle vittime, da intendersi soprattutto come testimoni, pur assicurandone il soddisfacimento delle primarie esigenze di incolumità, fisica o psichica. Come a dire, che per ora non rileva tanto l'offeso quale centro di interessi, ma piuttosto come fornitore di un sapere di cui solo lui può farsi portatore, giacché ‒ e qui torna la tassonomia elaborata dalla pubblica accusa in </w:t>
      </w:r>
      <w:r>
        <w:rPr>
          <w:rFonts w:ascii="Times New Roman" w:hAnsi="Times New Roman" w:cs="Times New Roman"/>
          <w:i/>
          <w:sz w:val="24"/>
          <w:szCs w:val="24"/>
        </w:rPr>
        <w:t>Kunarac</w:t>
      </w:r>
      <w:r>
        <w:rPr>
          <w:rFonts w:ascii="Times New Roman" w:hAnsi="Times New Roman" w:cs="Times New Roman"/>
          <w:sz w:val="24"/>
          <w:szCs w:val="24"/>
        </w:rPr>
        <w:t xml:space="preserve"> ‒ posto a contatto per un tempo considerevole, e durante il delitto, con il proprio persecutore. </w:t>
      </w:r>
    </w:p>
    <w:p w:rsidR="00D82DF7" w:rsidRDefault="00D82DF7" w:rsidP="0003046E">
      <w:pPr>
        <w:spacing w:after="0"/>
        <w:jc w:val="both"/>
        <w:rPr>
          <w:rFonts w:ascii="Times New Roman" w:hAnsi="Times New Roman" w:cs="Times New Roman"/>
          <w:sz w:val="24"/>
          <w:szCs w:val="24"/>
        </w:rPr>
      </w:pPr>
    </w:p>
    <w:p w:rsidR="00D82DF7" w:rsidRDefault="00D82DF7" w:rsidP="0003046E">
      <w:pPr>
        <w:spacing w:after="0"/>
        <w:jc w:val="both"/>
        <w:rPr>
          <w:rFonts w:ascii="Times New Roman" w:hAnsi="Times New Roman" w:cs="Times New Roman"/>
          <w:smallCaps/>
          <w:sz w:val="24"/>
          <w:szCs w:val="24"/>
        </w:rPr>
      </w:pPr>
      <w:r>
        <w:rPr>
          <w:rFonts w:ascii="Times New Roman" w:hAnsi="Times New Roman" w:cs="Times New Roman"/>
          <w:b/>
          <w:sz w:val="24"/>
          <w:szCs w:val="24"/>
        </w:rPr>
        <w:t xml:space="preserve">4. … </w:t>
      </w:r>
      <w:r>
        <w:rPr>
          <w:rFonts w:ascii="Times New Roman" w:hAnsi="Times New Roman" w:cs="Times New Roman"/>
          <w:b/>
          <w:smallCaps/>
          <w:sz w:val="24"/>
          <w:szCs w:val="24"/>
        </w:rPr>
        <w:t xml:space="preserve">e </w:t>
      </w:r>
      <w:r>
        <w:rPr>
          <w:rFonts w:ascii="Times New Roman" w:hAnsi="Times New Roman" w:cs="Times New Roman"/>
          <w:b/>
          <w:i/>
          <w:smallCaps/>
          <w:sz w:val="24"/>
          <w:szCs w:val="24"/>
        </w:rPr>
        <w:t>Bemba.</w:t>
      </w:r>
    </w:p>
    <w:p w:rsidR="00D82DF7" w:rsidRDefault="00D82DF7" w:rsidP="0003046E">
      <w:pPr>
        <w:spacing w:after="0"/>
        <w:jc w:val="both"/>
        <w:rPr>
          <w:rFonts w:ascii="Times New Roman" w:hAnsi="Times New Roman" w:cs="Times New Roman"/>
          <w:sz w:val="24"/>
          <w:szCs w:val="24"/>
        </w:rPr>
      </w:pPr>
      <w:r>
        <w:rPr>
          <w:rFonts w:ascii="Times New Roman" w:hAnsi="Times New Roman" w:cs="Times New Roman"/>
          <w:sz w:val="24"/>
          <w:szCs w:val="24"/>
        </w:rPr>
        <w:t xml:space="preserve">La ricognizione dei motivi per cui è possibile affermare l’esistenza di un percorso evolutivo nel concepire la vittima davanti alla Corte penale internazionale è senz’altro utile a questo punto del lavoro, e permette di meglio comprendere il terzo dei casi che si sceglie di richiamare: quello che vede protagonista il capo del Movimento per la liberazione del Congo (MLC), Jean-Pierre Bemba, condannato dalla Corte dell’Aja in primo grado a diciotto anni di carcere con sentenza del 21 giugno 2016. </w:t>
      </w:r>
      <w:r>
        <w:rPr>
          <w:rFonts w:ascii="Times New Roman" w:hAnsi="Times New Roman" w:cs="Times New Roman"/>
          <w:sz w:val="24"/>
          <w:szCs w:val="24"/>
        </w:rPr>
        <w:tab/>
      </w:r>
    </w:p>
    <w:p w:rsidR="00D82DF7" w:rsidRDefault="00D82DF7" w:rsidP="0003046E">
      <w:pPr>
        <w:spacing w:after="0"/>
        <w:jc w:val="both"/>
        <w:rPr>
          <w:rFonts w:ascii="Times New Roman" w:hAnsi="Times New Roman" w:cs="Times New Roman"/>
          <w:sz w:val="24"/>
          <w:szCs w:val="24"/>
        </w:rPr>
      </w:pPr>
      <w:r>
        <w:rPr>
          <w:rFonts w:ascii="Times New Roman" w:hAnsi="Times New Roman" w:cs="Times New Roman"/>
          <w:sz w:val="24"/>
          <w:szCs w:val="24"/>
        </w:rPr>
        <w:tab/>
        <w:t>Statuto di Roma e fonti regolamentari conferiscono alla vittima specifiche prerogative in ordine alla sua partecipazione al processo, alla riparazione del danno patito</w:t>
      </w:r>
      <w:r w:rsidR="00861F7E">
        <w:rPr>
          <w:rStyle w:val="Rimandonotaapidipagina"/>
          <w:rFonts w:ascii="Times New Roman" w:hAnsi="Times New Roman" w:cs="Times New Roman"/>
          <w:sz w:val="24"/>
          <w:szCs w:val="24"/>
        </w:rPr>
        <w:footnoteReference w:id="37"/>
      </w:r>
      <w:r>
        <w:rPr>
          <w:rFonts w:ascii="Times New Roman" w:hAnsi="Times New Roman" w:cs="Times New Roman"/>
          <w:sz w:val="24"/>
          <w:szCs w:val="24"/>
        </w:rPr>
        <w:t xml:space="preserve"> e alla protezione, evidentemente dalle conseguenze del reato, ivi compreso il fenomeno che, in questo lavoro, s’è già descritto come “vittimizzazione secondaria”</w:t>
      </w:r>
      <w:r w:rsidR="00861F7E">
        <w:rPr>
          <w:rStyle w:val="Rimandonotaapidipagina"/>
          <w:rFonts w:ascii="Times New Roman" w:hAnsi="Times New Roman" w:cs="Times New Roman"/>
          <w:sz w:val="24"/>
          <w:szCs w:val="24"/>
        </w:rPr>
        <w:footnoteReference w:id="38"/>
      </w:r>
      <w:r>
        <w:rPr>
          <w:rFonts w:ascii="Times New Roman" w:hAnsi="Times New Roman" w:cs="Times New Roman"/>
          <w:sz w:val="24"/>
          <w:szCs w:val="24"/>
        </w:rPr>
        <w:t>.</w:t>
      </w:r>
    </w:p>
    <w:p w:rsidR="00861F7E" w:rsidRDefault="00861F7E" w:rsidP="0003046E">
      <w:pPr>
        <w:spacing w:after="0"/>
        <w:jc w:val="both"/>
        <w:rPr>
          <w:rFonts w:ascii="Times New Roman" w:hAnsi="Times New Roman" w:cs="Times New Roman"/>
          <w:sz w:val="24"/>
          <w:szCs w:val="24"/>
        </w:rPr>
      </w:pPr>
      <w:r>
        <w:rPr>
          <w:rFonts w:ascii="Times New Roman" w:hAnsi="Times New Roman" w:cs="Times New Roman"/>
          <w:sz w:val="24"/>
          <w:szCs w:val="24"/>
        </w:rPr>
        <w:tab/>
        <w:t xml:space="preserve">Sotto altro profilo, è bene sottolineare il diverso modo con cui la Corte dell’Aja si approccia al reato, abbandonando l’impronta retribuzionista tipica delle precedenti esperienze di giustizia penale internazionale, e volendo, piuttosto, affrontare il crimine e le sue conseguenze secondo un modello dialogico e inclusivo che, con l’ausilio di tutte le parti in gioco, assecondi la ricostruzione del tessuto sociale, in precedenza distrutto </w:t>
      </w:r>
      <w:r w:rsidR="00742777">
        <w:rPr>
          <w:rFonts w:ascii="Times New Roman" w:hAnsi="Times New Roman" w:cs="Times New Roman"/>
          <w:sz w:val="24"/>
          <w:szCs w:val="24"/>
        </w:rPr>
        <w:t>a causa del delitto: si parla, in tal senso, già nel diritto interno</w:t>
      </w:r>
      <w:r w:rsidR="001247F3">
        <w:rPr>
          <w:rFonts w:ascii="Times New Roman" w:hAnsi="Times New Roman" w:cs="Times New Roman"/>
          <w:sz w:val="24"/>
          <w:szCs w:val="24"/>
        </w:rPr>
        <w:t>,</w:t>
      </w:r>
      <w:r w:rsidR="00742777">
        <w:rPr>
          <w:rFonts w:ascii="Times New Roman" w:hAnsi="Times New Roman" w:cs="Times New Roman"/>
          <w:sz w:val="24"/>
          <w:szCs w:val="24"/>
        </w:rPr>
        <w:t xml:space="preserve"> di </w:t>
      </w:r>
      <w:r w:rsidR="00742777">
        <w:rPr>
          <w:rFonts w:ascii="Times New Roman" w:hAnsi="Times New Roman" w:cs="Times New Roman"/>
          <w:i/>
          <w:sz w:val="24"/>
          <w:szCs w:val="24"/>
        </w:rPr>
        <w:t>restorative justice</w:t>
      </w:r>
      <w:r w:rsidR="00742777" w:rsidRPr="00742777">
        <w:rPr>
          <w:rStyle w:val="Rimandonotaapidipagina"/>
          <w:rFonts w:ascii="Times New Roman" w:hAnsi="Times New Roman" w:cs="Times New Roman"/>
          <w:sz w:val="24"/>
          <w:szCs w:val="24"/>
        </w:rPr>
        <w:footnoteReference w:id="39"/>
      </w:r>
      <w:r w:rsidR="00742777">
        <w:rPr>
          <w:rFonts w:ascii="Times New Roman" w:hAnsi="Times New Roman" w:cs="Times New Roman"/>
          <w:sz w:val="24"/>
          <w:szCs w:val="24"/>
        </w:rPr>
        <w:t xml:space="preserve">. </w:t>
      </w:r>
    </w:p>
    <w:p w:rsidR="00742777" w:rsidRDefault="00742777" w:rsidP="0003046E">
      <w:pPr>
        <w:spacing w:after="0"/>
        <w:jc w:val="both"/>
        <w:rPr>
          <w:rFonts w:ascii="Times New Roman" w:hAnsi="Times New Roman" w:cs="Times New Roman"/>
          <w:sz w:val="24"/>
          <w:szCs w:val="24"/>
        </w:rPr>
      </w:pPr>
      <w:r>
        <w:rPr>
          <w:rFonts w:ascii="Times New Roman" w:hAnsi="Times New Roman" w:cs="Times New Roman"/>
          <w:sz w:val="24"/>
          <w:szCs w:val="24"/>
        </w:rPr>
        <w:tab/>
        <w:t>Quanto appena ricordato si riverbera anche nel rapporto tra i giudici e le vittime di sesso femminile, ad esempio proprio nei procedimenti per i reati che qui si è scelto di considerare: le donne non meritano protezione</w:t>
      </w:r>
      <w:r w:rsidR="00832FFD">
        <w:rPr>
          <w:rFonts w:ascii="Times New Roman" w:hAnsi="Times New Roman" w:cs="Times New Roman"/>
          <w:sz w:val="24"/>
          <w:szCs w:val="24"/>
        </w:rPr>
        <w:t>,</w:t>
      </w:r>
      <w:r>
        <w:rPr>
          <w:rFonts w:ascii="Times New Roman" w:hAnsi="Times New Roman" w:cs="Times New Roman"/>
          <w:sz w:val="24"/>
          <w:szCs w:val="24"/>
        </w:rPr>
        <w:t xml:space="preserve"> </w:t>
      </w:r>
      <w:r w:rsidR="00832FFD">
        <w:rPr>
          <w:rFonts w:ascii="Times New Roman" w:hAnsi="Times New Roman" w:cs="Times New Roman"/>
          <w:i/>
          <w:sz w:val="24"/>
          <w:szCs w:val="24"/>
        </w:rPr>
        <w:t>sic et simpliciter</w:t>
      </w:r>
      <w:r w:rsidR="00832FF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due to their sex</w:t>
      </w:r>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40"/>
      </w:r>
      <w:r>
        <w:rPr>
          <w:rFonts w:ascii="Times New Roman" w:hAnsi="Times New Roman" w:cs="Times New Roman"/>
          <w:sz w:val="24"/>
          <w:szCs w:val="24"/>
        </w:rPr>
        <w:t xml:space="preserve">, ma </w:t>
      </w:r>
      <w:r w:rsidR="00832FFD">
        <w:rPr>
          <w:rFonts w:ascii="Times New Roman" w:hAnsi="Times New Roman" w:cs="Times New Roman"/>
          <w:sz w:val="24"/>
          <w:szCs w:val="24"/>
        </w:rPr>
        <w:t>si trovano coinvolte in contesti – di guerra o, più in generale, di violenza – nei quali si rivela tutta la loro debolezza, talora essendo utilizzate come oggetti</w:t>
      </w:r>
      <w:r w:rsidR="00832FFD">
        <w:rPr>
          <w:rStyle w:val="Rimandonotaapidipagina"/>
          <w:rFonts w:ascii="Times New Roman" w:hAnsi="Times New Roman" w:cs="Times New Roman"/>
          <w:sz w:val="24"/>
          <w:szCs w:val="24"/>
        </w:rPr>
        <w:footnoteReference w:id="41"/>
      </w:r>
      <w:r w:rsidR="00832FFD">
        <w:rPr>
          <w:rFonts w:ascii="Times New Roman" w:hAnsi="Times New Roman" w:cs="Times New Roman"/>
          <w:sz w:val="24"/>
          <w:szCs w:val="24"/>
        </w:rPr>
        <w:t xml:space="preserve">, veri e propri </w:t>
      </w:r>
      <w:r w:rsidR="00832FFD">
        <w:rPr>
          <w:rFonts w:ascii="Times New Roman" w:hAnsi="Times New Roman" w:cs="Times New Roman"/>
          <w:sz w:val="24"/>
          <w:szCs w:val="24"/>
        </w:rPr>
        <w:lastRenderedPageBreak/>
        <w:t xml:space="preserve">strumenti il cui impiego è finalizzato al più ampio progetto di </w:t>
      </w:r>
      <w:r w:rsidR="003F180F">
        <w:rPr>
          <w:rFonts w:ascii="Times New Roman" w:hAnsi="Times New Roman" w:cs="Times New Roman"/>
          <w:sz w:val="24"/>
          <w:szCs w:val="24"/>
        </w:rPr>
        <w:t>annichilamento</w:t>
      </w:r>
      <w:r w:rsidR="00832FFD">
        <w:rPr>
          <w:rFonts w:ascii="Times New Roman" w:hAnsi="Times New Roman" w:cs="Times New Roman"/>
          <w:sz w:val="24"/>
          <w:szCs w:val="24"/>
        </w:rPr>
        <w:t xml:space="preserve"> di un gruppo</w:t>
      </w:r>
      <w:r w:rsidR="00832FFD">
        <w:rPr>
          <w:rStyle w:val="Rimandonotaapidipagina"/>
          <w:rFonts w:ascii="Times New Roman" w:hAnsi="Times New Roman" w:cs="Times New Roman"/>
          <w:sz w:val="24"/>
          <w:szCs w:val="24"/>
        </w:rPr>
        <w:footnoteReference w:id="42"/>
      </w:r>
      <w:r w:rsidR="00832FFD">
        <w:rPr>
          <w:rFonts w:ascii="Times New Roman" w:hAnsi="Times New Roman" w:cs="Times New Roman"/>
          <w:sz w:val="24"/>
          <w:szCs w:val="24"/>
        </w:rPr>
        <w:t>.</w:t>
      </w:r>
    </w:p>
    <w:p w:rsidR="00832FFD" w:rsidRDefault="00832FFD" w:rsidP="0003046E">
      <w:pPr>
        <w:spacing w:after="0"/>
        <w:jc w:val="both"/>
        <w:rPr>
          <w:rFonts w:ascii="Times New Roman" w:hAnsi="Times New Roman" w:cs="Times New Roman"/>
          <w:sz w:val="24"/>
          <w:szCs w:val="24"/>
        </w:rPr>
      </w:pPr>
      <w:r>
        <w:rPr>
          <w:rFonts w:ascii="Times New Roman" w:hAnsi="Times New Roman" w:cs="Times New Roman"/>
          <w:sz w:val="24"/>
          <w:szCs w:val="24"/>
        </w:rPr>
        <w:tab/>
        <w:t>Coordinando questi argomenti con la più corretta esegesi dell’art. 85</w:t>
      </w:r>
      <w:r w:rsidR="00857B40">
        <w:rPr>
          <w:rFonts w:ascii="Times New Roman" w:hAnsi="Times New Roman" w:cs="Times New Roman"/>
          <w:sz w:val="24"/>
          <w:szCs w:val="24"/>
        </w:rPr>
        <w:t xml:space="preserve"> ICC</w:t>
      </w:r>
      <w:r>
        <w:rPr>
          <w:rFonts w:ascii="Times New Roman" w:hAnsi="Times New Roman" w:cs="Times New Roman"/>
          <w:sz w:val="24"/>
          <w:szCs w:val="24"/>
        </w:rPr>
        <w:t xml:space="preserve"> RPP</w:t>
      </w:r>
      <w:r>
        <w:rPr>
          <w:rStyle w:val="Rimandonotaapidipagina"/>
          <w:rFonts w:ascii="Times New Roman" w:hAnsi="Times New Roman" w:cs="Times New Roman"/>
          <w:sz w:val="24"/>
          <w:szCs w:val="24"/>
        </w:rPr>
        <w:footnoteReference w:id="43"/>
      </w:r>
      <w:r w:rsidR="003F73C2">
        <w:rPr>
          <w:rFonts w:ascii="Times New Roman" w:hAnsi="Times New Roman" w:cs="Times New Roman"/>
          <w:sz w:val="24"/>
          <w:szCs w:val="24"/>
        </w:rPr>
        <w:t>, –</w:t>
      </w:r>
      <w:r w:rsidR="001247F3">
        <w:rPr>
          <w:rFonts w:ascii="Times New Roman" w:hAnsi="Times New Roman" w:cs="Times New Roman"/>
          <w:sz w:val="24"/>
          <w:szCs w:val="24"/>
        </w:rPr>
        <w:t xml:space="preserve">  per </w:t>
      </w:r>
      <w:r w:rsidR="00857B40">
        <w:rPr>
          <w:rFonts w:ascii="Times New Roman" w:hAnsi="Times New Roman" w:cs="Times New Roman"/>
          <w:sz w:val="24"/>
          <w:szCs w:val="24"/>
        </w:rPr>
        <w:t>la</w:t>
      </w:r>
      <w:r w:rsidR="003F73C2">
        <w:rPr>
          <w:rFonts w:ascii="Times New Roman" w:hAnsi="Times New Roman" w:cs="Times New Roman"/>
          <w:sz w:val="24"/>
          <w:szCs w:val="24"/>
        </w:rPr>
        <w:t xml:space="preserve"> quale, nel sintagma “vittima” vanno ricomprese pure quelle cd. </w:t>
      </w:r>
      <w:r w:rsidR="003F73C2">
        <w:rPr>
          <w:rFonts w:ascii="Times New Roman" w:hAnsi="Times New Roman" w:cs="Times New Roman"/>
          <w:i/>
          <w:sz w:val="24"/>
          <w:szCs w:val="24"/>
        </w:rPr>
        <w:t xml:space="preserve">indirette </w:t>
      </w:r>
      <w:r w:rsidR="003F73C2">
        <w:rPr>
          <w:rFonts w:ascii="Times New Roman" w:hAnsi="Times New Roman" w:cs="Times New Roman"/>
          <w:sz w:val="24"/>
          <w:szCs w:val="24"/>
        </w:rPr>
        <w:t xml:space="preserve">o </w:t>
      </w:r>
      <w:r w:rsidR="003F73C2">
        <w:rPr>
          <w:rFonts w:ascii="Times New Roman" w:hAnsi="Times New Roman" w:cs="Times New Roman"/>
          <w:i/>
          <w:sz w:val="24"/>
          <w:szCs w:val="24"/>
        </w:rPr>
        <w:t>mediate</w:t>
      </w:r>
      <w:r w:rsidR="003F73C2" w:rsidRPr="003F73C2">
        <w:rPr>
          <w:rStyle w:val="Rimandonotaapidipagina"/>
          <w:rFonts w:ascii="Times New Roman" w:hAnsi="Times New Roman" w:cs="Times New Roman"/>
          <w:sz w:val="24"/>
          <w:szCs w:val="24"/>
        </w:rPr>
        <w:footnoteReference w:id="44"/>
      </w:r>
      <w:r w:rsidR="003F73C2">
        <w:rPr>
          <w:rFonts w:ascii="Times New Roman" w:hAnsi="Times New Roman" w:cs="Times New Roman"/>
          <w:sz w:val="24"/>
          <w:szCs w:val="24"/>
        </w:rPr>
        <w:t>, con ciò estendendone di parecchio il significato a chiunque sia stato, in un modo qualsiasi, colpito dall’evento delittuoso</w:t>
      </w:r>
      <w:r w:rsidR="00B514DD">
        <w:rPr>
          <w:rStyle w:val="Rimandonotaapidipagina"/>
          <w:rFonts w:ascii="Times New Roman" w:hAnsi="Times New Roman" w:cs="Times New Roman"/>
          <w:sz w:val="24"/>
          <w:szCs w:val="24"/>
        </w:rPr>
        <w:footnoteReference w:id="45"/>
      </w:r>
      <w:r w:rsidR="003F73C2">
        <w:rPr>
          <w:rFonts w:ascii="Times New Roman" w:hAnsi="Times New Roman" w:cs="Times New Roman"/>
          <w:sz w:val="24"/>
          <w:szCs w:val="24"/>
        </w:rPr>
        <w:t xml:space="preserve"> – è ora facile comprendere il nostro assunto di partenza, </w:t>
      </w:r>
      <w:r w:rsidR="001247F3">
        <w:rPr>
          <w:rFonts w:ascii="Times New Roman" w:hAnsi="Times New Roman" w:cs="Times New Roman"/>
          <w:sz w:val="24"/>
          <w:szCs w:val="24"/>
        </w:rPr>
        <w:t>secondo cui</w:t>
      </w:r>
      <w:r w:rsidR="003F73C2">
        <w:rPr>
          <w:rFonts w:ascii="Times New Roman" w:hAnsi="Times New Roman" w:cs="Times New Roman"/>
          <w:sz w:val="24"/>
          <w:szCs w:val="24"/>
        </w:rPr>
        <w:t xml:space="preserve">, verso la vittima di condotte ginocidiarie, non basta un mero atteggiamento di empatia – com’era di fronte ai Tribunali </w:t>
      </w:r>
      <w:r w:rsidR="003F73C2">
        <w:rPr>
          <w:rFonts w:ascii="Times New Roman" w:hAnsi="Times New Roman" w:cs="Times New Roman"/>
          <w:i/>
          <w:sz w:val="24"/>
          <w:szCs w:val="24"/>
        </w:rPr>
        <w:t>ad hoc</w:t>
      </w:r>
      <w:r w:rsidR="003F73C2">
        <w:rPr>
          <w:rFonts w:ascii="Times New Roman" w:hAnsi="Times New Roman" w:cs="Times New Roman"/>
          <w:sz w:val="24"/>
          <w:szCs w:val="24"/>
        </w:rPr>
        <w:t xml:space="preserve"> –</w:t>
      </w:r>
      <w:r w:rsidR="001247F3">
        <w:rPr>
          <w:rFonts w:ascii="Times New Roman" w:hAnsi="Times New Roman" w:cs="Times New Roman"/>
          <w:sz w:val="24"/>
          <w:szCs w:val="24"/>
        </w:rPr>
        <w:t>, ma ne occorre</w:t>
      </w:r>
      <w:r w:rsidR="003F73C2">
        <w:rPr>
          <w:rFonts w:ascii="Times New Roman" w:hAnsi="Times New Roman" w:cs="Times New Roman"/>
          <w:sz w:val="24"/>
          <w:szCs w:val="24"/>
        </w:rPr>
        <w:t xml:space="preserve"> uno inclusivo, capace, per quanto possibile, di assicurarne –</w:t>
      </w:r>
      <w:r w:rsidR="00857B40">
        <w:rPr>
          <w:rFonts w:ascii="Times New Roman" w:hAnsi="Times New Roman" w:cs="Times New Roman"/>
          <w:sz w:val="24"/>
          <w:szCs w:val="24"/>
        </w:rPr>
        <w:t xml:space="preserve"> diremmo</w:t>
      </w:r>
      <w:r w:rsidR="003F73C2">
        <w:rPr>
          <w:rFonts w:ascii="Times New Roman" w:hAnsi="Times New Roman" w:cs="Times New Roman"/>
          <w:sz w:val="24"/>
          <w:szCs w:val="24"/>
        </w:rPr>
        <w:t xml:space="preserve"> – il ritorno ad una vita normale, nel segno di un rinnovato ordine nella società in cui ella si inserisce</w:t>
      </w:r>
      <w:r w:rsidR="003F73C2">
        <w:rPr>
          <w:rStyle w:val="Rimandonotaapidipagina"/>
          <w:rFonts w:ascii="Times New Roman" w:hAnsi="Times New Roman" w:cs="Times New Roman"/>
          <w:sz w:val="24"/>
          <w:szCs w:val="24"/>
        </w:rPr>
        <w:footnoteReference w:id="46"/>
      </w:r>
      <w:r w:rsidR="003F73C2">
        <w:rPr>
          <w:rFonts w:ascii="Times New Roman" w:hAnsi="Times New Roman" w:cs="Times New Roman"/>
          <w:sz w:val="24"/>
          <w:szCs w:val="24"/>
        </w:rPr>
        <w:t>.</w:t>
      </w:r>
    </w:p>
    <w:p w:rsidR="006C6384" w:rsidRDefault="006C6384" w:rsidP="0003046E">
      <w:pPr>
        <w:spacing w:after="0"/>
        <w:jc w:val="both"/>
        <w:rPr>
          <w:rFonts w:ascii="Times New Roman" w:hAnsi="Times New Roman" w:cs="Times New Roman"/>
          <w:sz w:val="24"/>
          <w:szCs w:val="24"/>
        </w:rPr>
      </w:pPr>
      <w:r>
        <w:rPr>
          <w:rFonts w:ascii="Times New Roman" w:hAnsi="Times New Roman" w:cs="Times New Roman"/>
          <w:sz w:val="24"/>
          <w:szCs w:val="24"/>
        </w:rPr>
        <w:tab/>
        <w:t xml:space="preserve">La velocissima ricognizione testé compiuta – certo, senza alcuna pretesa di esaustività – permette di passare al caso </w:t>
      </w:r>
      <w:r>
        <w:rPr>
          <w:rFonts w:ascii="Times New Roman" w:hAnsi="Times New Roman" w:cs="Times New Roman"/>
          <w:i/>
          <w:sz w:val="24"/>
          <w:szCs w:val="24"/>
        </w:rPr>
        <w:t>Bemba</w:t>
      </w:r>
      <w:r>
        <w:rPr>
          <w:rFonts w:ascii="Times New Roman" w:hAnsi="Times New Roman" w:cs="Times New Roman"/>
          <w:sz w:val="24"/>
          <w:szCs w:val="24"/>
        </w:rPr>
        <w:t xml:space="preserve">. Processo recentissimo, esso </w:t>
      </w:r>
      <w:r w:rsidR="005139AF">
        <w:rPr>
          <w:rFonts w:ascii="Times New Roman" w:hAnsi="Times New Roman" w:cs="Times New Roman"/>
          <w:sz w:val="24"/>
          <w:szCs w:val="24"/>
        </w:rPr>
        <w:t>consente</w:t>
      </w:r>
      <w:r>
        <w:rPr>
          <w:rFonts w:ascii="Times New Roman" w:hAnsi="Times New Roman" w:cs="Times New Roman"/>
          <w:sz w:val="24"/>
          <w:szCs w:val="24"/>
        </w:rPr>
        <w:t xml:space="preserve"> di apprezzare se </w:t>
      </w:r>
      <w:r w:rsidR="006B1A6D">
        <w:rPr>
          <w:rFonts w:ascii="Times New Roman" w:hAnsi="Times New Roman" w:cs="Times New Roman"/>
          <w:sz w:val="24"/>
          <w:szCs w:val="24"/>
        </w:rPr>
        <w:t>l’intento di fornire un nuovo volto a</w:t>
      </w:r>
      <w:r>
        <w:rPr>
          <w:rFonts w:ascii="Times New Roman" w:hAnsi="Times New Roman" w:cs="Times New Roman"/>
          <w:sz w:val="24"/>
          <w:szCs w:val="24"/>
        </w:rPr>
        <w:t>lla v</w:t>
      </w:r>
      <w:r w:rsidR="0076364F">
        <w:rPr>
          <w:rFonts w:ascii="Times New Roman" w:hAnsi="Times New Roman" w:cs="Times New Roman"/>
          <w:sz w:val="24"/>
          <w:szCs w:val="24"/>
        </w:rPr>
        <w:t>ittima di ginocidio si traduca</w:t>
      </w:r>
      <w:r>
        <w:rPr>
          <w:rFonts w:ascii="Times New Roman" w:hAnsi="Times New Roman" w:cs="Times New Roman"/>
          <w:sz w:val="24"/>
          <w:szCs w:val="24"/>
        </w:rPr>
        <w:t>, nei fatti, in un maggiore grado di</w:t>
      </w:r>
      <w:r w:rsidR="005139AF">
        <w:rPr>
          <w:rFonts w:ascii="Times New Roman" w:hAnsi="Times New Roman" w:cs="Times New Roman"/>
          <w:sz w:val="24"/>
          <w:szCs w:val="24"/>
        </w:rPr>
        <w:t xml:space="preserve"> sua</w:t>
      </w:r>
      <w:r>
        <w:rPr>
          <w:rFonts w:ascii="Times New Roman" w:hAnsi="Times New Roman" w:cs="Times New Roman"/>
          <w:sz w:val="24"/>
          <w:szCs w:val="24"/>
        </w:rPr>
        <w:t xml:space="preserve"> inclusione e protezione. </w:t>
      </w:r>
    </w:p>
    <w:p w:rsidR="00D82DF7" w:rsidRDefault="006C6384" w:rsidP="0003046E">
      <w:pPr>
        <w:spacing w:after="0"/>
        <w:jc w:val="both"/>
        <w:rPr>
          <w:rFonts w:ascii="Times New Roman" w:hAnsi="Times New Roman" w:cs="Times New Roman"/>
          <w:sz w:val="24"/>
          <w:szCs w:val="24"/>
        </w:rPr>
      </w:pPr>
      <w:r>
        <w:rPr>
          <w:rFonts w:ascii="Times New Roman" w:hAnsi="Times New Roman" w:cs="Times New Roman"/>
          <w:sz w:val="24"/>
          <w:szCs w:val="24"/>
        </w:rPr>
        <w:tab/>
      </w:r>
      <w:r w:rsidR="005638F8">
        <w:rPr>
          <w:rFonts w:ascii="Times New Roman" w:hAnsi="Times New Roman" w:cs="Times New Roman"/>
          <w:sz w:val="24"/>
          <w:szCs w:val="24"/>
        </w:rPr>
        <w:t>Un primo passaggio rilevante nella sentenza del 21 giugno 2016 è quello che distingue proprio tra le vittime dirette e le indirette dei delitti commessi</w:t>
      </w:r>
      <w:r w:rsidR="00857B40">
        <w:rPr>
          <w:rFonts w:ascii="Times New Roman" w:hAnsi="Times New Roman" w:cs="Times New Roman"/>
          <w:sz w:val="24"/>
          <w:szCs w:val="24"/>
        </w:rPr>
        <w:t xml:space="preserve"> od ordinati</w:t>
      </w:r>
      <w:r w:rsidR="005638F8">
        <w:rPr>
          <w:rFonts w:ascii="Times New Roman" w:hAnsi="Times New Roman" w:cs="Times New Roman"/>
          <w:sz w:val="24"/>
          <w:szCs w:val="24"/>
        </w:rPr>
        <w:t xml:space="preserve"> da Bemba. Si legge in esso</w:t>
      </w:r>
      <w:r w:rsidR="005638F8">
        <w:rPr>
          <w:rStyle w:val="Rimandonotaapidipagina"/>
          <w:rFonts w:ascii="Times New Roman" w:hAnsi="Times New Roman" w:cs="Times New Roman"/>
          <w:sz w:val="24"/>
          <w:szCs w:val="24"/>
        </w:rPr>
        <w:footnoteReference w:id="47"/>
      </w:r>
      <w:r w:rsidR="005638F8">
        <w:rPr>
          <w:rFonts w:ascii="Times New Roman" w:hAnsi="Times New Roman" w:cs="Times New Roman"/>
          <w:sz w:val="24"/>
          <w:szCs w:val="24"/>
        </w:rPr>
        <w:t xml:space="preserve"> che quanti sopravvivono all’omicidio di un congiunto, ne sono per primi colpiti, sia fisicamente che sul piano psicologico; viene portato l’esempio del testimone P69, che assisteva all’uccisione di sua sorella, avendone visto – così, la sua deposizione in aula – il cervello fuoriuscire dal cranio, esattamente come </w:t>
      </w:r>
      <w:r w:rsidR="005139AF">
        <w:rPr>
          <w:rFonts w:ascii="Times New Roman" w:hAnsi="Times New Roman" w:cs="Times New Roman"/>
          <w:sz w:val="24"/>
          <w:szCs w:val="24"/>
        </w:rPr>
        <w:t>se fosse stato un animale martoriato</w:t>
      </w:r>
      <w:r w:rsidR="005638F8">
        <w:rPr>
          <w:rFonts w:ascii="Times New Roman" w:hAnsi="Times New Roman" w:cs="Times New Roman"/>
          <w:sz w:val="24"/>
          <w:szCs w:val="24"/>
        </w:rPr>
        <w:t>. La scena colpiva P69 al punto che questi si rivolgeva agli autori del delitto, chiedendo di essere</w:t>
      </w:r>
      <w:r w:rsidR="005139AF">
        <w:rPr>
          <w:rFonts w:ascii="Times New Roman" w:hAnsi="Times New Roman" w:cs="Times New Roman"/>
          <w:sz w:val="24"/>
          <w:szCs w:val="24"/>
        </w:rPr>
        <w:t xml:space="preserve"> a propria volta</w:t>
      </w:r>
      <w:r w:rsidR="005638F8">
        <w:rPr>
          <w:rFonts w:ascii="Times New Roman" w:hAnsi="Times New Roman" w:cs="Times New Roman"/>
          <w:sz w:val="24"/>
          <w:szCs w:val="24"/>
        </w:rPr>
        <w:t xml:space="preserve"> ucciso; un altro teste, P87</w:t>
      </w:r>
      <w:r w:rsidR="005638F8">
        <w:rPr>
          <w:rStyle w:val="Rimandonotaapidipagina"/>
          <w:rFonts w:ascii="Times New Roman" w:hAnsi="Times New Roman" w:cs="Times New Roman"/>
          <w:sz w:val="24"/>
          <w:szCs w:val="24"/>
        </w:rPr>
        <w:footnoteReference w:id="48"/>
      </w:r>
      <w:r w:rsidR="005638F8">
        <w:rPr>
          <w:rFonts w:ascii="Times New Roman" w:hAnsi="Times New Roman" w:cs="Times New Roman"/>
          <w:sz w:val="24"/>
          <w:szCs w:val="24"/>
        </w:rPr>
        <w:t xml:space="preserve">, è stato colpito da allucinazioni e disturbi di altro tipo, per vari anni dopo l’omicidio del fratello. L’esposizione degli strascichi dei crimini denunciati continua, grave, nelle parole delle vittime di stupro: una di esse narra di avere, oggi, a quasi quindici anni di </w:t>
      </w:r>
      <w:r w:rsidR="005638F8">
        <w:rPr>
          <w:rFonts w:ascii="Times New Roman" w:hAnsi="Times New Roman" w:cs="Times New Roman"/>
          <w:sz w:val="24"/>
          <w:szCs w:val="24"/>
        </w:rPr>
        <w:lastRenderedPageBreak/>
        <w:t>distanza, manie sui</w:t>
      </w:r>
      <w:r w:rsidR="00BD5803">
        <w:rPr>
          <w:rFonts w:ascii="Times New Roman" w:hAnsi="Times New Roman" w:cs="Times New Roman"/>
          <w:sz w:val="24"/>
          <w:szCs w:val="24"/>
        </w:rPr>
        <w:t>cide e una sicura tendenza alla depressione; esiti ricollegabili all’esperienza subita, tra l’ottobre 2002 e il marzo 2003, allorquando, rapita dalle milizie del MLC, fu portata alla base, stuprata e, rimasta incinta, costretta a convivere con uno dei suoi violentatori fino alla ritirata dei militari dalla Repubblica Democratica del Congo. Sposatasi e rimasta precocemente vedova, è stata, poi, ripudiata dai familiari del marito, appena ebbero notizia delle violenze.</w:t>
      </w:r>
    </w:p>
    <w:p w:rsidR="00BD5803" w:rsidRDefault="00BD5803" w:rsidP="0003046E">
      <w:pPr>
        <w:spacing w:after="0"/>
        <w:jc w:val="both"/>
        <w:rPr>
          <w:rFonts w:ascii="Times New Roman" w:hAnsi="Times New Roman" w:cs="Times New Roman"/>
          <w:sz w:val="24"/>
          <w:szCs w:val="24"/>
        </w:rPr>
      </w:pPr>
      <w:r>
        <w:rPr>
          <w:rFonts w:ascii="Times New Roman" w:hAnsi="Times New Roman" w:cs="Times New Roman"/>
          <w:sz w:val="24"/>
          <w:szCs w:val="24"/>
        </w:rPr>
        <w:tab/>
        <w:t>La sentenza in argomento si intrattiene, poi, sulla prova, offerta alla Corte mediante esperti, delle conseguenze subìte dalle vittime – dirette e non – a cagione del reato</w:t>
      </w:r>
      <w:r>
        <w:rPr>
          <w:rStyle w:val="Rimandonotaapidipagina"/>
          <w:rFonts w:ascii="Times New Roman" w:hAnsi="Times New Roman" w:cs="Times New Roman"/>
          <w:sz w:val="24"/>
          <w:szCs w:val="24"/>
        </w:rPr>
        <w:footnoteReference w:id="49"/>
      </w:r>
      <w:r>
        <w:rPr>
          <w:rFonts w:ascii="Times New Roman" w:hAnsi="Times New Roman" w:cs="Times New Roman"/>
          <w:sz w:val="24"/>
          <w:szCs w:val="24"/>
        </w:rPr>
        <w:t xml:space="preserve">: </w:t>
      </w:r>
      <w:r w:rsidR="003D4F9E">
        <w:rPr>
          <w:rFonts w:ascii="Times New Roman" w:hAnsi="Times New Roman" w:cs="Times New Roman"/>
          <w:sz w:val="24"/>
          <w:szCs w:val="24"/>
        </w:rPr>
        <w:t>se ne distinguono di fisiche (lesioni, contrazione di malattie, AIDS</w:t>
      </w:r>
      <w:r w:rsidR="003D4F9E">
        <w:rPr>
          <w:rFonts w:ascii="Times New Roman" w:hAnsi="Times New Roman" w:cs="Times New Roman"/>
          <w:i/>
          <w:sz w:val="24"/>
          <w:szCs w:val="24"/>
        </w:rPr>
        <w:t xml:space="preserve"> in primis</w:t>
      </w:r>
      <w:r w:rsidR="003D4F9E">
        <w:rPr>
          <w:rFonts w:ascii="Times New Roman" w:hAnsi="Times New Roman" w:cs="Times New Roman"/>
          <w:sz w:val="24"/>
          <w:szCs w:val="24"/>
        </w:rPr>
        <w:t xml:space="preserve">, perdita della verginità e gravidanze indesiderate), di psicologiche (paura, ansia, collera, aggressività, senso di colpa, asocialità, umiliazione, sfiducia in sé e negli altri, disturbi ossessivo-compulsivi), di psichiatriche (sindrome da </w:t>
      </w:r>
      <w:r w:rsidR="003D4F9E" w:rsidRPr="003D4F9E">
        <w:rPr>
          <w:rFonts w:ascii="Times New Roman" w:hAnsi="Times New Roman" w:cs="Times New Roman"/>
          <w:i/>
          <w:sz w:val="24"/>
          <w:szCs w:val="24"/>
        </w:rPr>
        <w:t>stress</w:t>
      </w:r>
      <w:r w:rsidR="003D4F9E">
        <w:rPr>
          <w:rFonts w:ascii="Times New Roman" w:hAnsi="Times New Roman" w:cs="Times New Roman"/>
          <w:sz w:val="24"/>
          <w:szCs w:val="24"/>
        </w:rPr>
        <w:t xml:space="preserve"> post-traumatico, depressione, malinconia, nevrosi, disturbi psicosomatici) e di sociali (ad esempio, il ripudio da parte della famiglia). </w:t>
      </w:r>
    </w:p>
    <w:p w:rsidR="003D4F9E" w:rsidRDefault="003D4F9E" w:rsidP="0003046E">
      <w:pPr>
        <w:spacing w:after="0"/>
        <w:jc w:val="both"/>
        <w:rPr>
          <w:rFonts w:ascii="Times New Roman" w:hAnsi="Times New Roman" w:cs="Times New Roman"/>
          <w:sz w:val="24"/>
          <w:szCs w:val="24"/>
        </w:rPr>
      </w:pPr>
      <w:r>
        <w:rPr>
          <w:rFonts w:ascii="Times New Roman" w:hAnsi="Times New Roman" w:cs="Times New Roman"/>
          <w:sz w:val="24"/>
          <w:szCs w:val="24"/>
        </w:rPr>
        <w:tab/>
        <w:t>Con specifico riferimento alle condotte ginocidiarie, la Corte ha individuato un esperto in «</w:t>
      </w:r>
      <w:r>
        <w:rPr>
          <w:rFonts w:ascii="Times New Roman" w:hAnsi="Times New Roman" w:cs="Times New Roman"/>
          <w:i/>
          <w:sz w:val="24"/>
          <w:szCs w:val="24"/>
        </w:rPr>
        <w:t>effetti longitudinali e intergenerazionali delle violenze sessuali di massa</w:t>
      </w:r>
      <w:r>
        <w:rPr>
          <w:rFonts w:ascii="Times New Roman" w:hAnsi="Times New Roman" w:cs="Times New Roman"/>
          <w:sz w:val="24"/>
          <w:szCs w:val="24"/>
        </w:rPr>
        <w:t xml:space="preserve">», che ha colto – e spiegato ai giudici – un rapporto di diretta proporzionalità tra la gravità del delitto – individuabile, ad esempio, sulla scorta della quantità di violenze subite, del numero di autori dello stupro o dell’eventuale presenza di terzi all’atto – e l’importanza – intesa pure nei termini del loro protrarsi nel tempo – delle conseguenze sul piano psichico della vittima. </w:t>
      </w:r>
    </w:p>
    <w:p w:rsidR="00BD5803" w:rsidRDefault="003D4F9E" w:rsidP="0003046E">
      <w:pPr>
        <w:spacing w:after="0"/>
        <w:jc w:val="both"/>
        <w:rPr>
          <w:rFonts w:ascii="Times New Roman" w:hAnsi="Times New Roman" w:cs="Times New Roman"/>
          <w:sz w:val="24"/>
          <w:szCs w:val="24"/>
        </w:rPr>
      </w:pPr>
      <w:r>
        <w:rPr>
          <w:rFonts w:ascii="Times New Roman" w:hAnsi="Times New Roman" w:cs="Times New Roman"/>
          <w:sz w:val="24"/>
          <w:szCs w:val="24"/>
        </w:rPr>
        <w:tab/>
        <w:t xml:space="preserve">Si noti ora un’importante differenza nel procedere tra i casi </w:t>
      </w:r>
      <w:r>
        <w:rPr>
          <w:rFonts w:ascii="Times New Roman" w:hAnsi="Times New Roman" w:cs="Times New Roman"/>
          <w:i/>
          <w:sz w:val="24"/>
          <w:szCs w:val="24"/>
        </w:rPr>
        <w:t>Bemba</w:t>
      </w:r>
      <w:r>
        <w:rPr>
          <w:rFonts w:ascii="Times New Roman" w:hAnsi="Times New Roman" w:cs="Times New Roman"/>
          <w:sz w:val="24"/>
          <w:szCs w:val="24"/>
        </w:rPr>
        <w:t xml:space="preserve">, da un lato, e </w:t>
      </w:r>
      <w:r>
        <w:rPr>
          <w:rFonts w:ascii="Times New Roman" w:hAnsi="Times New Roman" w:cs="Times New Roman"/>
          <w:i/>
          <w:sz w:val="24"/>
          <w:szCs w:val="24"/>
        </w:rPr>
        <w:t>Nyiramasuhuko</w:t>
      </w:r>
      <w:r>
        <w:rPr>
          <w:rFonts w:ascii="Times New Roman" w:hAnsi="Times New Roman" w:cs="Times New Roman"/>
          <w:sz w:val="24"/>
          <w:szCs w:val="24"/>
        </w:rPr>
        <w:t xml:space="preserve"> e </w:t>
      </w:r>
      <w:r>
        <w:rPr>
          <w:rFonts w:ascii="Times New Roman" w:hAnsi="Times New Roman" w:cs="Times New Roman"/>
          <w:i/>
          <w:sz w:val="24"/>
          <w:szCs w:val="24"/>
        </w:rPr>
        <w:t>Kunarac</w:t>
      </w:r>
      <w:r>
        <w:rPr>
          <w:rFonts w:ascii="Times New Roman" w:hAnsi="Times New Roman" w:cs="Times New Roman"/>
          <w:sz w:val="24"/>
          <w:szCs w:val="24"/>
        </w:rPr>
        <w:t xml:space="preserve">, dall’altro. </w:t>
      </w:r>
      <w:r w:rsidR="007B28AB">
        <w:rPr>
          <w:rFonts w:ascii="Times New Roman" w:hAnsi="Times New Roman" w:cs="Times New Roman"/>
          <w:sz w:val="24"/>
          <w:szCs w:val="24"/>
        </w:rPr>
        <w:t xml:space="preserve">La Corte penale internazionale intende realizzare un duplice obiettivo: sotto un primo profilo, la vittima è sicuramente veicolo di informazioni utili ai giudici per l’accertamento del reato; per altro verso, però, nel processo entra la prova del danno subito dagli offesi. In </w:t>
      </w:r>
      <w:r w:rsidR="007B28AB">
        <w:rPr>
          <w:rFonts w:ascii="Times New Roman" w:hAnsi="Times New Roman" w:cs="Times New Roman"/>
          <w:i/>
          <w:sz w:val="24"/>
          <w:szCs w:val="24"/>
        </w:rPr>
        <w:t>Bemba</w:t>
      </w:r>
      <w:r w:rsidR="007B28AB">
        <w:rPr>
          <w:rFonts w:ascii="Times New Roman" w:hAnsi="Times New Roman" w:cs="Times New Roman"/>
          <w:sz w:val="24"/>
          <w:szCs w:val="24"/>
        </w:rPr>
        <w:t xml:space="preserve"> si rivolge attenzione alle conseguenze dei crimini addebitati all’imputato, e tanto serve, sì, per vagliarne la gravità e, quindi, per calibrarne la pena in concreto, ma è utile – e qui sta l’innovazione rispetto ai Tribunali </w:t>
      </w:r>
      <w:r w:rsidR="007B28AB">
        <w:rPr>
          <w:rFonts w:ascii="Times New Roman" w:hAnsi="Times New Roman" w:cs="Times New Roman"/>
          <w:i/>
          <w:sz w:val="24"/>
          <w:szCs w:val="24"/>
        </w:rPr>
        <w:t>ad hoc</w:t>
      </w:r>
      <w:r w:rsidR="007B28AB">
        <w:rPr>
          <w:rFonts w:ascii="Times New Roman" w:hAnsi="Times New Roman" w:cs="Times New Roman"/>
          <w:sz w:val="24"/>
          <w:szCs w:val="24"/>
        </w:rPr>
        <w:t xml:space="preserve"> – per </w:t>
      </w:r>
      <w:r w:rsidR="00FA2D5E">
        <w:rPr>
          <w:rFonts w:ascii="Times New Roman" w:hAnsi="Times New Roman" w:cs="Times New Roman"/>
          <w:sz w:val="24"/>
          <w:szCs w:val="24"/>
        </w:rPr>
        <w:t xml:space="preserve">individuare interventi di assistenza sulle vittime, affiancando alla </w:t>
      </w:r>
      <w:r w:rsidR="00FA2D5E">
        <w:rPr>
          <w:rFonts w:ascii="Times New Roman" w:hAnsi="Times New Roman" w:cs="Times New Roman"/>
          <w:i/>
          <w:sz w:val="24"/>
          <w:szCs w:val="24"/>
        </w:rPr>
        <w:t>reparation</w:t>
      </w:r>
      <w:r w:rsidR="00FA2D5E">
        <w:rPr>
          <w:rFonts w:ascii="Times New Roman" w:hAnsi="Times New Roman" w:cs="Times New Roman"/>
          <w:sz w:val="24"/>
          <w:szCs w:val="24"/>
        </w:rPr>
        <w:t xml:space="preserve"> il </w:t>
      </w:r>
      <w:r w:rsidR="00FA2D5E">
        <w:rPr>
          <w:rFonts w:ascii="Times New Roman" w:hAnsi="Times New Roman" w:cs="Times New Roman"/>
          <w:i/>
          <w:sz w:val="24"/>
          <w:szCs w:val="24"/>
        </w:rPr>
        <w:t>victim support</w:t>
      </w:r>
      <w:r w:rsidR="00FA2D5E">
        <w:rPr>
          <w:rFonts w:ascii="Times New Roman" w:hAnsi="Times New Roman" w:cs="Times New Roman"/>
          <w:sz w:val="24"/>
          <w:szCs w:val="24"/>
        </w:rPr>
        <w:t xml:space="preserve">. </w:t>
      </w:r>
    </w:p>
    <w:p w:rsidR="00FA2D5E" w:rsidRDefault="00ED2F05" w:rsidP="0003046E">
      <w:pPr>
        <w:spacing w:after="0"/>
        <w:jc w:val="both"/>
        <w:rPr>
          <w:rFonts w:ascii="Times New Roman" w:hAnsi="Times New Roman" w:cs="Times New Roman"/>
          <w:sz w:val="24"/>
          <w:szCs w:val="24"/>
        </w:rPr>
      </w:pPr>
      <w:r>
        <w:rPr>
          <w:rFonts w:ascii="Times New Roman" w:hAnsi="Times New Roman" w:cs="Times New Roman"/>
          <w:sz w:val="24"/>
          <w:szCs w:val="24"/>
        </w:rPr>
        <w:tab/>
        <w:t xml:space="preserve">Il sistema appena descritto non è, però, esente da critiche. La sentenza </w:t>
      </w:r>
      <w:r>
        <w:rPr>
          <w:rFonts w:ascii="Times New Roman" w:hAnsi="Times New Roman" w:cs="Times New Roman"/>
          <w:i/>
          <w:sz w:val="24"/>
          <w:szCs w:val="24"/>
        </w:rPr>
        <w:t>Bemba</w:t>
      </w:r>
      <w:r>
        <w:rPr>
          <w:rFonts w:ascii="Times New Roman" w:hAnsi="Times New Roman" w:cs="Times New Roman"/>
          <w:sz w:val="24"/>
          <w:szCs w:val="24"/>
        </w:rPr>
        <w:t xml:space="preserve"> è giunta a quattordici anni dalla fine dei crimini per cui v’è stata condanna</w:t>
      </w:r>
      <w:r w:rsidR="006B3378">
        <w:rPr>
          <w:rFonts w:ascii="Times New Roman" w:hAnsi="Times New Roman" w:cs="Times New Roman"/>
          <w:sz w:val="24"/>
          <w:szCs w:val="24"/>
        </w:rPr>
        <w:t xml:space="preserve">: </w:t>
      </w:r>
      <w:r w:rsidR="006D2391">
        <w:rPr>
          <w:rFonts w:ascii="Times New Roman" w:hAnsi="Times New Roman" w:cs="Times New Roman"/>
          <w:sz w:val="24"/>
          <w:szCs w:val="24"/>
        </w:rPr>
        <w:t>si tratta di un periodo troppo lungo per assicurare giustizia a chi abbia subito il reato, vista anche la gravità delle condotte e – forse, soprattutto – degli effetti da esso causati</w:t>
      </w:r>
      <w:r w:rsidR="006D2391">
        <w:rPr>
          <w:rStyle w:val="Rimandonotaapidipagina"/>
          <w:rFonts w:ascii="Times New Roman" w:hAnsi="Times New Roman" w:cs="Times New Roman"/>
          <w:sz w:val="24"/>
          <w:szCs w:val="24"/>
        </w:rPr>
        <w:footnoteReference w:id="50"/>
      </w:r>
      <w:r w:rsidR="006D2391">
        <w:rPr>
          <w:rFonts w:ascii="Times New Roman" w:hAnsi="Times New Roman" w:cs="Times New Roman"/>
          <w:sz w:val="24"/>
          <w:szCs w:val="24"/>
        </w:rPr>
        <w:t xml:space="preserve">. La dimensione cronologica del processo avanti alla Corte dell’Aja frustra in parte le esigenze dell’offeso: come a dire che, a fronte di condivisibili petizioni di principio che portano la vittima ad essere parte di una giustizia che sia, appunto, </w:t>
      </w:r>
      <w:r w:rsidR="006D2391">
        <w:rPr>
          <w:rFonts w:ascii="Times New Roman" w:hAnsi="Times New Roman" w:cs="Times New Roman"/>
          <w:i/>
          <w:sz w:val="24"/>
          <w:szCs w:val="24"/>
        </w:rPr>
        <w:t>ristorative</w:t>
      </w:r>
      <w:r w:rsidR="006D2391">
        <w:rPr>
          <w:rFonts w:ascii="Times New Roman" w:hAnsi="Times New Roman" w:cs="Times New Roman"/>
          <w:sz w:val="24"/>
          <w:szCs w:val="24"/>
        </w:rPr>
        <w:t xml:space="preserve">, la concreta gestione dei casi compie più di qualche passo indietro su questo terreno, </w:t>
      </w:r>
      <w:r w:rsidR="006D2391">
        <w:rPr>
          <w:rFonts w:ascii="Times New Roman" w:hAnsi="Times New Roman" w:cs="Times New Roman"/>
          <w:sz w:val="24"/>
          <w:szCs w:val="24"/>
        </w:rPr>
        <w:lastRenderedPageBreak/>
        <w:t>portando l’offeso ad essere</w:t>
      </w:r>
      <w:r w:rsidR="00857B40">
        <w:rPr>
          <w:rFonts w:ascii="Times New Roman" w:hAnsi="Times New Roman" w:cs="Times New Roman"/>
          <w:sz w:val="24"/>
          <w:szCs w:val="24"/>
        </w:rPr>
        <w:t>, per molto tempo,</w:t>
      </w:r>
      <w:r w:rsidR="006D2391">
        <w:rPr>
          <w:rFonts w:ascii="Times New Roman" w:hAnsi="Times New Roman" w:cs="Times New Roman"/>
          <w:sz w:val="24"/>
          <w:szCs w:val="24"/>
        </w:rPr>
        <w:t xml:space="preserve"> solo – nel senso di sprovvisto di qualunque risposta “di giustizia” – di fronte al reato e alle sue conseguenze.</w:t>
      </w:r>
    </w:p>
    <w:p w:rsidR="006D2391" w:rsidRDefault="006D2391" w:rsidP="0003046E">
      <w:pPr>
        <w:spacing w:after="0"/>
        <w:jc w:val="both"/>
        <w:rPr>
          <w:rFonts w:ascii="Times New Roman" w:hAnsi="Times New Roman" w:cs="Times New Roman"/>
          <w:sz w:val="24"/>
          <w:szCs w:val="24"/>
        </w:rPr>
      </w:pPr>
      <w:r>
        <w:rPr>
          <w:rFonts w:ascii="Times New Roman" w:hAnsi="Times New Roman" w:cs="Times New Roman"/>
          <w:sz w:val="24"/>
          <w:szCs w:val="24"/>
        </w:rPr>
        <w:tab/>
        <w:t>A ciò s’aggiunga, poi, l’onnipresente censura al sistema dell’Aja, che si occuperebbe solo di alcuni tra i conflitti occorrenti sulla scena internazionale</w:t>
      </w:r>
      <w:r w:rsidR="007953E8">
        <w:rPr>
          <w:rFonts w:ascii="Times New Roman" w:hAnsi="Times New Roman" w:cs="Times New Roman"/>
          <w:sz w:val="24"/>
          <w:szCs w:val="24"/>
        </w:rPr>
        <w:t>, concentrandosi sugli scenari africani e, in parte, asiatici, senza indagare altri contesti – ad esempio, quello della guerra in Ucraina</w:t>
      </w:r>
      <w:r w:rsidR="007953E8">
        <w:rPr>
          <w:rStyle w:val="Rimandonotaapidipagina"/>
          <w:rFonts w:ascii="Times New Roman" w:hAnsi="Times New Roman" w:cs="Times New Roman"/>
          <w:sz w:val="24"/>
          <w:szCs w:val="24"/>
        </w:rPr>
        <w:footnoteReference w:id="51"/>
      </w:r>
      <w:r w:rsidR="007953E8">
        <w:rPr>
          <w:rFonts w:ascii="Times New Roman" w:hAnsi="Times New Roman" w:cs="Times New Roman"/>
          <w:sz w:val="24"/>
          <w:szCs w:val="24"/>
        </w:rPr>
        <w:t xml:space="preserve"> – e soffrendo, comunque, del mancato appoggio degli Stati Uniti</w:t>
      </w:r>
      <w:r w:rsidR="005139AF">
        <w:rPr>
          <w:rFonts w:ascii="Times New Roman" w:hAnsi="Times New Roman" w:cs="Times New Roman"/>
          <w:sz w:val="24"/>
          <w:szCs w:val="24"/>
        </w:rPr>
        <w:t>: ciò</w:t>
      </w:r>
      <w:r w:rsidR="007953E8">
        <w:rPr>
          <w:rFonts w:ascii="Times New Roman" w:hAnsi="Times New Roman" w:cs="Times New Roman"/>
          <w:sz w:val="24"/>
          <w:szCs w:val="24"/>
        </w:rPr>
        <w:t xml:space="preserve"> che le impedisce il vaglio e la sanzione dei casi in cui siano coinvolti militari americani</w:t>
      </w:r>
      <w:r w:rsidR="007953E8">
        <w:rPr>
          <w:rStyle w:val="Rimandonotaapidipagina"/>
          <w:rFonts w:ascii="Times New Roman" w:hAnsi="Times New Roman" w:cs="Times New Roman"/>
          <w:sz w:val="24"/>
          <w:szCs w:val="24"/>
        </w:rPr>
        <w:footnoteReference w:id="52"/>
      </w:r>
      <w:r w:rsidR="007953E8">
        <w:rPr>
          <w:rFonts w:ascii="Times New Roman" w:hAnsi="Times New Roman" w:cs="Times New Roman"/>
          <w:sz w:val="24"/>
          <w:szCs w:val="24"/>
        </w:rPr>
        <w:t xml:space="preserve">. Il tema esula dalla presente analisi, tuttavia è indicativo a </w:t>
      </w:r>
      <w:r w:rsidR="0076364F">
        <w:rPr>
          <w:rFonts w:ascii="Times New Roman" w:hAnsi="Times New Roman" w:cs="Times New Roman"/>
          <w:sz w:val="24"/>
          <w:szCs w:val="24"/>
        </w:rPr>
        <w:t>contestare</w:t>
      </w:r>
      <w:r w:rsidR="007953E8">
        <w:rPr>
          <w:rFonts w:ascii="Times New Roman" w:hAnsi="Times New Roman" w:cs="Times New Roman"/>
          <w:sz w:val="24"/>
          <w:szCs w:val="24"/>
        </w:rPr>
        <w:t xml:space="preserve"> la pretesa universalità nell’agire della Corte: e ciò si ripercuote, inevitabilmente, sul progetto di assistenza inclusiva che Statuto di Roma e fonti regolamentari hanno ipotizzato per le vittime di </w:t>
      </w:r>
      <w:r w:rsidR="007953E8">
        <w:rPr>
          <w:rFonts w:ascii="Times New Roman" w:hAnsi="Times New Roman" w:cs="Times New Roman"/>
          <w:i/>
          <w:sz w:val="24"/>
          <w:szCs w:val="24"/>
        </w:rPr>
        <w:t>core crimes</w:t>
      </w:r>
      <w:r w:rsidR="007953E8">
        <w:rPr>
          <w:rFonts w:ascii="Times New Roman" w:hAnsi="Times New Roman" w:cs="Times New Roman"/>
          <w:sz w:val="24"/>
          <w:szCs w:val="24"/>
        </w:rPr>
        <w:t xml:space="preserve">. </w:t>
      </w:r>
    </w:p>
    <w:p w:rsidR="007953E8" w:rsidRDefault="007953E8" w:rsidP="0003046E">
      <w:pPr>
        <w:spacing w:after="0"/>
        <w:jc w:val="both"/>
        <w:rPr>
          <w:rFonts w:ascii="Times New Roman" w:hAnsi="Times New Roman" w:cs="Times New Roman"/>
          <w:sz w:val="24"/>
          <w:szCs w:val="24"/>
        </w:rPr>
      </w:pPr>
      <w:r>
        <w:rPr>
          <w:rFonts w:ascii="Times New Roman" w:hAnsi="Times New Roman" w:cs="Times New Roman"/>
          <w:sz w:val="24"/>
          <w:szCs w:val="24"/>
        </w:rPr>
        <w:tab/>
        <w:t>In definitiva, quindi, tempi lunghi e contrasti riferibili al chiaro intento, manifestato dai principali detrattori della Corte, di sottrarsi ad una giurisdizione universale per i delitti statutari</w:t>
      </w:r>
      <w:r w:rsidR="005139AF">
        <w:rPr>
          <w:rFonts w:ascii="Times New Roman" w:hAnsi="Times New Roman" w:cs="Times New Roman"/>
          <w:sz w:val="24"/>
          <w:szCs w:val="24"/>
        </w:rPr>
        <w:t>,</w:t>
      </w:r>
      <w:r>
        <w:rPr>
          <w:rFonts w:ascii="Times New Roman" w:hAnsi="Times New Roman" w:cs="Times New Roman"/>
          <w:sz w:val="24"/>
          <w:szCs w:val="24"/>
        </w:rPr>
        <w:t xml:space="preserve"> rischiano di funestare </w:t>
      </w:r>
      <w:r w:rsidR="00CA6081">
        <w:rPr>
          <w:rFonts w:ascii="Times New Roman" w:hAnsi="Times New Roman" w:cs="Times New Roman"/>
          <w:sz w:val="24"/>
          <w:szCs w:val="24"/>
        </w:rPr>
        <w:t>il progetto di una giustizia penale internazionale che non sappia solo sanzionare in modo esemplare gli autori di «atrocità inimmaginabili che turbano profondamente la coscienza dell’umanità»</w:t>
      </w:r>
      <w:r w:rsidR="00CA6081">
        <w:rPr>
          <w:rStyle w:val="Rimandonotaapidipagina"/>
          <w:rFonts w:ascii="Times New Roman" w:hAnsi="Times New Roman" w:cs="Times New Roman"/>
          <w:sz w:val="24"/>
          <w:szCs w:val="24"/>
        </w:rPr>
        <w:footnoteReference w:id="53"/>
      </w:r>
      <w:r w:rsidR="00CA6081">
        <w:rPr>
          <w:rFonts w:ascii="Times New Roman" w:hAnsi="Times New Roman" w:cs="Times New Roman"/>
          <w:sz w:val="24"/>
          <w:szCs w:val="24"/>
        </w:rPr>
        <w:t xml:space="preserve">, ma anche aiutare la ricomposizione dei contesti sociali più colpiti dai crimini: in ciò – s’è visto – gioca un ruolo essenziale la tutela della vittima. </w:t>
      </w:r>
    </w:p>
    <w:p w:rsidR="001247F3" w:rsidRDefault="00CA6081" w:rsidP="0003046E">
      <w:pPr>
        <w:spacing w:after="0"/>
        <w:jc w:val="both"/>
        <w:rPr>
          <w:rFonts w:ascii="Times New Roman" w:hAnsi="Times New Roman" w:cs="Times New Roman"/>
          <w:sz w:val="24"/>
          <w:szCs w:val="24"/>
        </w:rPr>
      </w:pPr>
      <w:r>
        <w:rPr>
          <w:rFonts w:ascii="Times New Roman" w:hAnsi="Times New Roman" w:cs="Times New Roman"/>
          <w:sz w:val="24"/>
          <w:szCs w:val="24"/>
        </w:rPr>
        <w:tab/>
        <w:t xml:space="preserve">D’altra parte, il problema è pure nella gestione degli affari da parte dell’Ufficio del </w:t>
      </w:r>
      <w:r>
        <w:rPr>
          <w:rFonts w:ascii="Times New Roman" w:hAnsi="Times New Roman" w:cs="Times New Roman"/>
          <w:i/>
          <w:sz w:val="24"/>
          <w:szCs w:val="24"/>
        </w:rPr>
        <w:t>Prosecutor</w:t>
      </w:r>
      <w:r>
        <w:rPr>
          <w:rFonts w:ascii="Times New Roman" w:hAnsi="Times New Roman" w:cs="Times New Roman"/>
          <w:sz w:val="24"/>
          <w:szCs w:val="24"/>
        </w:rPr>
        <w:t xml:space="preserve">: tante sono sicuramente le situazioni che meritano l’interesse della Corte, tuttavia è un dato che la prima sentenza di condanna per uno stupro etnico – diremmo, utilizzando la categoria dalla quale si è qui partiti: per un reato ginocidiario – è quella che chiude il caso </w:t>
      </w:r>
      <w:r>
        <w:rPr>
          <w:rFonts w:ascii="Times New Roman" w:hAnsi="Times New Roman" w:cs="Times New Roman"/>
          <w:i/>
          <w:sz w:val="24"/>
          <w:szCs w:val="24"/>
        </w:rPr>
        <w:t>Bemba</w:t>
      </w:r>
      <w:r>
        <w:rPr>
          <w:rFonts w:ascii="Times New Roman" w:hAnsi="Times New Roman" w:cs="Times New Roman"/>
          <w:sz w:val="24"/>
          <w:szCs w:val="24"/>
        </w:rPr>
        <w:t xml:space="preserve">. Insomma, occorre forse una razionalizzazione dei </w:t>
      </w:r>
      <w:r w:rsidR="005139AF">
        <w:rPr>
          <w:rFonts w:ascii="Times New Roman" w:hAnsi="Times New Roman" w:cs="Times New Roman"/>
          <w:sz w:val="24"/>
          <w:szCs w:val="24"/>
        </w:rPr>
        <w:t>fascicoli</w:t>
      </w:r>
      <w:r>
        <w:rPr>
          <w:rFonts w:ascii="Times New Roman" w:hAnsi="Times New Roman" w:cs="Times New Roman"/>
          <w:sz w:val="24"/>
          <w:szCs w:val="24"/>
        </w:rPr>
        <w:t>, che sappia porre in primo piano quelli nei quali più gravi appaiono le conseguenze del reato, pur, però, non potendo</w:t>
      </w:r>
      <w:r w:rsidR="002A13D6">
        <w:rPr>
          <w:rFonts w:ascii="Times New Roman" w:hAnsi="Times New Roman" w:cs="Times New Roman"/>
          <w:sz w:val="24"/>
          <w:szCs w:val="24"/>
        </w:rPr>
        <w:t xml:space="preserve"> mai ignorare</w:t>
      </w:r>
      <w:r>
        <w:rPr>
          <w:rFonts w:ascii="Times New Roman" w:hAnsi="Times New Roman" w:cs="Times New Roman"/>
          <w:sz w:val="24"/>
          <w:szCs w:val="24"/>
        </w:rPr>
        <w:t xml:space="preserve"> che l’idea stessa del crimine internazionale insiste su scenari in cui è impossibile non p</w:t>
      </w:r>
      <w:r w:rsidR="006B1A6D">
        <w:rPr>
          <w:rFonts w:ascii="Times New Roman" w:hAnsi="Times New Roman" w:cs="Times New Roman"/>
          <w:sz w:val="24"/>
          <w:szCs w:val="24"/>
        </w:rPr>
        <w:t>revedere esiti nefasti su un gran numero di vittime</w:t>
      </w:r>
      <w:r>
        <w:rPr>
          <w:rFonts w:ascii="Times New Roman" w:hAnsi="Times New Roman" w:cs="Times New Roman"/>
          <w:sz w:val="24"/>
          <w:szCs w:val="24"/>
        </w:rPr>
        <w:t xml:space="preserve">, dirette e indirette che siano, anche a lungo termine. E allora, forse, la soluzione può </w:t>
      </w:r>
      <w:r w:rsidR="005139AF">
        <w:rPr>
          <w:rFonts w:ascii="Times New Roman" w:hAnsi="Times New Roman" w:cs="Times New Roman"/>
          <w:sz w:val="24"/>
          <w:szCs w:val="24"/>
        </w:rPr>
        <w:t>reperirsi</w:t>
      </w:r>
      <w:r>
        <w:rPr>
          <w:rFonts w:ascii="Times New Roman" w:hAnsi="Times New Roman" w:cs="Times New Roman"/>
          <w:sz w:val="24"/>
          <w:szCs w:val="24"/>
        </w:rPr>
        <w:t xml:space="preserve"> in una rinnovata, più efficace, collaborazione con gli Stati-parte che, tuttavia, sconta il fatto di essere la Corte un sistema dell’esecuzione indiretta</w:t>
      </w:r>
      <w:r w:rsidR="006B1A6D">
        <w:rPr>
          <w:rStyle w:val="Rimandonotaapidipagina"/>
          <w:rFonts w:ascii="Times New Roman" w:hAnsi="Times New Roman" w:cs="Times New Roman"/>
          <w:sz w:val="24"/>
          <w:szCs w:val="24"/>
        </w:rPr>
        <w:footnoteReference w:id="54"/>
      </w:r>
      <w:r>
        <w:rPr>
          <w:rFonts w:ascii="Times New Roman" w:hAnsi="Times New Roman" w:cs="Times New Roman"/>
          <w:sz w:val="24"/>
          <w:szCs w:val="24"/>
        </w:rPr>
        <w:t>: e tale rimarrà fino a che non si svilupperà l’idea di un soggetto sovrano a livello internazionale che sappia esplicare il proprio potere direttamente negli Stati, avvalendosi d</w:t>
      </w:r>
      <w:r w:rsidR="003E0D5F">
        <w:rPr>
          <w:rFonts w:ascii="Times New Roman" w:hAnsi="Times New Roman" w:cs="Times New Roman"/>
          <w:sz w:val="24"/>
          <w:szCs w:val="24"/>
        </w:rPr>
        <w:t xml:space="preserve">i una polizia e di un sistema di esecuzione penale diversi da quelli nazionali: un po’ come accade nel sistema federale statunitense. Si tratta, però, ad oggi </w:t>
      </w:r>
      <w:r w:rsidR="003E0D5F">
        <w:rPr>
          <w:rFonts w:ascii="Times New Roman" w:hAnsi="Times New Roman" w:cs="Times New Roman"/>
          <w:sz w:val="24"/>
          <w:szCs w:val="24"/>
        </w:rPr>
        <w:lastRenderedPageBreak/>
        <w:t xml:space="preserve">di </w:t>
      </w:r>
      <w:r w:rsidR="005139AF">
        <w:rPr>
          <w:rFonts w:ascii="Times New Roman" w:hAnsi="Times New Roman" w:cs="Times New Roman"/>
          <w:sz w:val="24"/>
          <w:szCs w:val="24"/>
        </w:rPr>
        <w:t>“</w:t>
      </w:r>
      <w:r w:rsidR="003E0D5F">
        <w:rPr>
          <w:rFonts w:ascii="Times New Roman" w:hAnsi="Times New Roman" w:cs="Times New Roman"/>
          <w:sz w:val="24"/>
          <w:szCs w:val="24"/>
        </w:rPr>
        <w:t>fantadiritto</w:t>
      </w:r>
      <w:r w:rsidR="005139AF">
        <w:rPr>
          <w:rFonts w:ascii="Times New Roman" w:hAnsi="Times New Roman" w:cs="Times New Roman"/>
          <w:sz w:val="24"/>
          <w:szCs w:val="24"/>
        </w:rPr>
        <w:t>”</w:t>
      </w:r>
      <w:r w:rsidR="003E0D5F">
        <w:rPr>
          <w:rFonts w:ascii="Times New Roman" w:hAnsi="Times New Roman" w:cs="Times New Roman"/>
          <w:sz w:val="24"/>
          <w:szCs w:val="24"/>
        </w:rPr>
        <w:t>, per cui lo studioso che sia ben conscio della riluttanza degli Stati-parte a sacrificare p</w:t>
      </w:r>
      <w:r w:rsidR="005139AF">
        <w:rPr>
          <w:rFonts w:ascii="Times New Roman" w:hAnsi="Times New Roman" w:cs="Times New Roman"/>
          <w:sz w:val="24"/>
          <w:szCs w:val="24"/>
        </w:rPr>
        <w:t>orzioni</w:t>
      </w:r>
      <w:r w:rsidR="003E0D5F">
        <w:rPr>
          <w:rFonts w:ascii="Times New Roman" w:hAnsi="Times New Roman" w:cs="Times New Roman"/>
          <w:sz w:val="24"/>
          <w:szCs w:val="24"/>
        </w:rPr>
        <w:t xml:space="preserve"> della propria sovranità nella direzione appena descritta, ben sa che il limite della Corte penale internazionale – e, quindi, pure della sua azione di tutela in favore delle vittime – risiede nel suo limitato raggio d’azione che ne fa, ad oggi, un giudice tutt’altro che universale e </w:t>
      </w:r>
      <w:r w:rsidR="005139AF">
        <w:rPr>
          <w:rFonts w:ascii="Times New Roman" w:hAnsi="Times New Roman" w:cs="Times New Roman"/>
          <w:sz w:val="24"/>
          <w:szCs w:val="24"/>
        </w:rPr>
        <w:t>in grado</w:t>
      </w:r>
      <w:r w:rsidR="003E0D5F">
        <w:rPr>
          <w:rFonts w:ascii="Times New Roman" w:hAnsi="Times New Roman" w:cs="Times New Roman"/>
          <w:sz w:val="24"/>
          <w:szCs w:val="24"/>
        </w:rPr>
        <w:t xml:space="preserve"> di operare</w:t>
      </w:r>
      <w:r w:rsidR="005139AF">
        <w:rPr>
          <w:rFonts w:ascii="Times New Roman" w:hAnsi="Times New Roman" w:cs="Times New Roman"/>
          <w:sz w:val="24"/>
          <w:szCs w:val="24"/>
        </w:rPr>
        <w:t>, purtroppo, solo</w:t>
      </w:r>
      <w:r w:rsidR="003E0D5F">
        <w:rPr>
          <w:rFonts w:ascii="Times New Roman" w:hAnsi="Times New Roman" w:cs="Times New Roman"/>
          <w:sz w:val="24"/>
          <w:szCs w:val="24"/>
        </w:rPr>
        <w:t xml:space="preserve"> secondo procedure lunghe e non sempre lineari.</w:t>
      </w:r>
    </w:p>
    <w:p w:rsidR="001247F3" w:rsidRDefault="001247F3" w:rsidP="0003046E">
      <w:pPr>
        <w:spacing w:after="0"/>
        <w:jc w:val="both"/>
        <w:rPr>
          <w:rFonts w:ascii="Times New Roman" w:hAnsi="Times New Roman" w:cs="Times New Roman"/>
          <w:sz w:val="24"/>
          <w:szCs w:val="24"/>
        </w:rPr>
      </w:pPr>
    </w:p>
    <w:p w:rsidR="00CA6081" w:rsidRDefault="001247F3" w:rsidP="0003046E">
      <w:pPr>
        <w:spacing w:after="0"/>
        <w:jc w:val="both"/>
        <w:rPr>
          <w:rFonts w:ascii="Times New Roman" w:hAnsi="Times New Roman" w:cs="Times New Roman"/>
          <w:sz w:val="24"/>
          <w:szCs w:val="24"/>
        </w:rPr>
      </w:pPr>
      <w:r>
        <w:rPr>
          <w:rFonts w:ascii="Times New Roman" w:hAnsi="Times New Roman" w:cs="Times New Roman"/>
          <w:b/>
          <w:sz w:val="24"/>
          <w:szCs w:val="24"/>
        </w:rPr>
        <w:t xml:space="preserve">5. </w:t>
      </w:r>
      <w:r>
        <w:rPr>
          <w:rFonts w:ascii="Times New Roman" w:hAnsi="Times New Roman" w:cs="Times New Roman"/>
          <w:b/>
          <w:smallCaps/>
          <w:sz w:val="24"/>
          <w:szCs w:val="24"/>
        </w:rPr>
        <w:t>Conclusioni minime: quale apporto dalla giustizia penale internazionale nella tutela delle vittime di violenza di genere?</w:t>
      </w:r>
      <w:r w:rsidR="003E0D5F">
        <w:rPr>
          <w:rFonts w:ascii="Times New Roman" w:hAnsi="Times New Roman" w:cs="Times New Roman"/>
          <w:sz w:val="24"/>
          <w:szCs w:val="24"/>
        </w:rPr>
        <w:t xml:space="preserve"> </w:t>
      </w:r>
    </w:p>
    <w:p w:rsidR="006B1A6D" w:rsidRDefault="006B1A6D" w:rsidP="0003046E">
      <w:pPr>
        <w:spacing w:after="0"/>
        <w:jc w:val="both"/>
        <w:rPr>
          <w:rFonts w:ascii="Times New Roman" w:hAnsi="Times New Roman" w:cs="Times New Roman"/>
          <w:sz w:val="24"/>
          <w:szCs w:val="24"/>
        </w:rPr>
      </w:pPr>
      <w:r>
        <w:rPr>
          <w:rFonts w:ascii="Times New Roman" w:hAnsi="Times New Roman" w:cs="Times New Roman"/>
          <w:sz w:val="24"/>
          <w:szCs w:val="24"/>
        </w:rPr>
        <w:t>Occorre ora tirare le fila: sono state esaminate tre decisioni</w:t>
      </w:r>
      <w:r w:rsidR="00647C5B">
        <w:rPr>
          <w:rFonts w:ascii="Times New Roman" w:hAnsi="Times New Roman" w:cs="Times New Roman"/>
          <w:sz w:val="24"/>
          <w:szCs w:val="24"/>
        </w:rPr>
        <w:t xml:space="preserve">, segnate dal </w:t>
      </w:r>
      <w:r w:rsidR="00647C5B">
        <w:rPr>
          <w:rFonts w:ascii="Times New Roman" w:hAnsi="Times New Roman" w:cs="Times New Roman"/>
          <w:i/>
          <w:sz w:val="24"/>
          <w:szCs w:val="24"/>
        </w:rPr>
        <w:t>leit-motiv</w:t>
      </w:r>
      <w:r w:rsidR="00647C5B">
        <w:rPr>
          <w:rFonts w:ascii="Times New Roman" w:hAnsi="Times New Roman" w:cs="Times New Roman"/>
          <w:sz w:val="24"/>
          <w:szCs w:val="24"/>
        </w:rPr>
        <w:t xml:space="preserve"> della presenza di vittime, donne, di condotte ginocidiarie; due di esse si riferivano ai Tribunali</w:t>
      </w:r>
      <w:r w:rsidR="00647C5B">
        <w:rPr>
          <w:rFonts w:ascii="Times New Roman" w:hAnsi="Times New Roman" w:cs="Times New Roman"/>
          <w:i/>
          <w:sz w:val="24"/>
          <w:szCs w:val="24"/>
        </w:rPr>
        <w:t xml:space="preserve"> ad hoc</w:t>
      </w:r>
      <w:r w:rsidR="00647C5B">
        <w:rPr>
          <w:rFonts w:ascii="Times New Roman" w:hAnsi="Times New Roman" w:cs="Times New Roman"/>
          <w:sz w:val="24"/>
          <w:szCs w:val="24"/>
        </w:rPr>
        <w:t xml:space="preserve"> – e, quindi, secondo le nostre premesse, ad un’idea di soggetto passivo del reato che rileva in quanto testimone privilegiato dei crimini per cui è processo –, mentre la terza viene resa, in tempi assai recenti, dalla Corte penale internazionale e, nella lettura della sentenza, emerge, chiara e netta, l’impostazione vocata alla tutela della vittima in quanto soggetto bisognoso di supporto, anche al di là del materiale </w:t>
      </w:r>
      <w:r w:rsidR="003F627C">
        <w:rPr>
          <w:rFonts w:ascii="Times New Roman" w:hAnsi="Times New Roman" w:cs="Times New Roman"/>
          <w:sz w:val="24"/>
          <w:szCs w:val="24"/>
        </w:rPr>
        <w:t>contributo</w:t>
      </w:r>
      <w:r w:rsidR="00647C5B">
        <w:rPr>
          <w:rFonts w:ascii="Times New Roman" w:hAnsi="Times New Roman" w:cs="Times New Roman"/>
          <w:sz w:val="24"/>
          <w:szCs w:val="24"/>
        </w:rPr>
        <w:t xml:space="preserve"> che sappia fornire all’accertamento del delitto. </w:t>
      </w:r>
    </w:p>
    <w:p w:rsidR="00647C5B" w:rsidRDefault="00647C5B" w:rsidP="0003046E">
      <w:pPr>
        <w:spacing w:after="0"/>
        <w:jc w:val="both"/>
        <w:rPr>
          <w:rFonts w:ascii="Times New Roman" w:hAnsi="Times New Roman" w:cs="Times New Roman"/>
          <w:sz w:val="24"/>
          <w:szCs w:val="24"/>
        </w:rPr>
      </w:pPr>
      <w:r>
        <w:rPr>
          <w:rFonts w:ascii="Times New Roman" w:hAnsi="Times New Roman" w:cs="Times New Roman"/>
          <w:sz w:val="24"/>
          <w:szCs w:val="24"/>
        </w:rPr>
        <w:tab/>
        <w:t>Resta ora da domandarsi quali, tra i principi considerati in quest</w:t>
      </w:r>
      <w:r w:rsidR="003F627C">
        <w:rPr>
          <w:rFonts w:ascii="Times New Roman" w:hAnsi="Times New Roman" w:cs="Times New Roman"/>
          <w:sz w:val="24"/>
          <w:szCs w:val="24"/>
        </w:rPr>
        <w:t>e pagine, possano tornare utili</w:t>
      </w:r>
      <w:r>
        <w:rPr>
          <w:rFonts w:ascii="Times New Roman" w:hAnsi="Times New Roman" w:cs="Times New Roman"/>
          <w:sz w:val="24"/>
          <w:szCs w:val="24"/>
        </w:rPr>
        <w:t xml:space="preserve"> nella definizione di buone prassi di diritto interno, magari </w:t>
      </w:r>
      <w:r w:rsidR="003F627C">
        <w:rPr>
          <w:rFonts w:ascii="Times New Roman" w:hAnsi="Times New Roman" w:cs="Times New Roman"/>
          <w:sz w:val="24"/>
          <w:szCs w:val="24"/>
        </w:rPr>
        <w:t>per</w:t>
      </w:r>
      <w:r>
        <w:rPr>
          <w:rFonts w:ascii="Times New Roman" w:hAnsi="Times New Roman" w:cs="Times New Roman"/>
          <w:sz w:val="24"/>
          <w:szCs w:val="24"/>
        </w:rPr>
        <w:t xml:space="preserve"> implementare quelle garanzie che figliano, in favore della vittima di reato, dal diritto eurounitario o dalla Convenzione edu. </w:t>
      </w:r>
    </w:p>
    <w:p w:rsidR="00647C5B" w:rsidRDefault="00647C5B" w:rsidP="0003046E">
      <w:pPr>
        <w:spacing w:after="0"/>
        <w:jc w:val="both"/>
        <w:rPr>
          <w:rFonts w:ascii="Times New Roman" w:hAnsi="Times New Roman" w:cs="Times New Roman"/>
          <w:sz w:val="24"/>
          <w:szCs w:val="24"/>
        </w:rPr>
      </w:pPr>
      <w:r>
        <w:rPr>
          <w:rFonts w:ascii="Times New Roman" w:hAnsi="Times New Roman" w:cs="Times New Roman"/>
          <w:sz w:val="24"/>
          <w:szCs w:val="24"/>
        </w:rPr>
        <w:tab/>
      </w:r>
      <w:r w:rsidR="00386B1C">
        <w:rPr>
          <w:rFonts w:ascii="Times New Roman" w:hAnsi="Times New Roman" w:cs="Times New Roman"/>
          <w:sz w:val="24"/>
          <w:szCs w:val="24"/>
        </w:rPr>
        <w:t>Si mantengano distinti i due piani dell’analisi: da un lato, v’è lo sforzo dei giudici internazionali nel definire criteri per il vaglio di credibilità della vittima-testimo</w:t>
      </w:r>
      <w:r w:rsidR="003F627C">
        <w:rPr>
          <w:rFonts w:ascii="Times New Roman" w:hAnsi="Times New Roman" w:cs="Times New Roman"/>
          <w:sz w:val="24"/>
          <w:szCs w:val="24"/>
        </w:rPr>
        <w:t>ne, dall’altro, si palesa</w:t>
      </w:r>
      <w:r w:rsidR="00386B1C">
        <w:rPr>
          <w:rFonts w:ascii="Times New Roman" w:hAnsi="Times New Roman" w:cs="Times New Roman"/>
          <w:sz w:val="24"/>
          <w:szCs w:val="24"/>
        </w:rPr>
        <w:t xml:space="preserve"> la necessità di fornire all’offeso specifici servizi di supporto.</w:t>
      </w:r>
    </w:p>
    <w:p w:rsidR="00386B1C" w:rsidRDefault="00386B1C" w:rsidP="0003046E">
      <w:pPr>
        <w:spacing w:after="0"/>
        <w:jc w:val="both"/>
        <w:rPr>
          <w:rFonts w:ascii="Times New Roman" w:hAnsi="Times New Roman" w:cs="Times New Roman"/>
          <w:sz w:val="24"/>
          <w:szCs w:val="24"/>
        </w:rPr>
      </w:pPr>
      <w:r>
        <w:rPr>
          <w:rFonts w:ascii="Times New Roman" w:hAnsi="Times New Roman" w:cs="Times New Roman"/>
          <w:sz w:val="24"/>
          <w:szCs w:val="24"/>
        </w:rPr>
        <w:tab/>
        <w:t xml:space="preserve">Alla premessa va, poi, accompagnata la considerazione per cui lo scopo di questo studio non è </w:t>
      </w:r>
      <w:r w:rsidR="00C22F1C">
        <w:rPr>
          <w:rFonts w:ascii="Times New Roman" w:hAnsi="Times New Roman" w:cs="Times New Roman"/>
          <w:sz w:val="24"/>
          <w:szCs w:val="24"/>
        </w:rPr>
        <w:t xml:space="preserve">stato </w:t>
      </w:r>
      <w:r>
        <w:rPr>
          <w:rFonts w:ascii="Times New Roman" w:hAnsi="Times New Roman" w:cs="Times New Roman"/>
          <w:sz w:val="24"/>
          <w:szCs w:val="24"/>
        </w:rPr>
        <w:t xml:space="preserve">certo quello di descrivere le forme di un rimedio alla violazione delle prerogative della vittima nel diritto interno, non essendo né i Tribunali </w:t>
      </w:r>
      <w:r>
        <w:rPr>
          <w:rFonts w:ascii="Times New Roman" w:hAnsi="Times New Roman" w:cs="Times New Roman"/>
          <w:i/>
          <w:sz w:val="24"/>
          <w:szCs w:val="24"/>
        </w:rPr>
        <w:t>ad hoc</w:t>
      </w:r>
      <w:r>
        <w:rPr>
          <w:rFonts w:ascii="Times New Roman" w:hAnsi="Times New Roman" w:cs="Times New Roman"/>
          <w:sz w:val="24"/>
          <w:szCs w:val="24"/>
        </w:rPr>
        <w:t xml:space="preserve">, né la Corte dell’Aja competenti ad un simile giudizio; quanto sin qui esposto, però, </w:t>
      </w:r>
      <w:r w:rsidR="003F627C">
        <w:rPr>
          <w:rFonts w:ascii="Times New Roman" w:hAnsi="Times New Roman" w:cs="Times New Roman"/>
          <w:sz w:val="24"/>
          <w:szCs w:val="24"/>
        </w:rPr>
        <w:t>serve</w:t>
      </w:r>
      <w:r>
        <w:rPr>
          <w:rFonts w:ascii="Times New Roman" w:hAnsi="Times New Roman" w:cs="Times New Roman"/>
          <w:sz w:val="24"/>
          <w:szCs w:val="24"/>
        </w:rPr>
        <w:t xml:space="preserve"> in ragione della fisionomia del giudizio </w:t>
      </w:r>
      <w:r w:rsidR="003F627C">
        <w:rPr>
          <w:rFonts w:ascii="Times New Roman" w:hAnsi="Times New Roman" w:cs="Times New Roman"/>
          <w:sz w:val="24"/>
          <w:szCs w:val="24"/>
        </w:rPr>
        <w:t>d</w:t>
      </w:r>
      <w:r>
        <w:rPr>
          <w:rFonts w:ascii="Times New Roman" w:hAnsi="Times New Roman" w:cs="Times New Roman"/>
          <w:sz w:val="24"/>
          <w:szCs w:val="24"/>
        </w:rPr>
        <w:t xml:space="preserve">avanti </w:t>
      </w:r>
      <w:r w:rsidR="003F627C">
        <w:rPr>
          <w:rFonts w:ascii="Times New Roman" w:hAnsi="Times New Roman" w:cs="Times New Roman"/>
          <w:sz w:val="24"/>
          <w:szCs w:val="24"/>
        </w:rPr>
        <w:t>al</w:t>
      </w:r>
      <w:r>
        <w:rPr>
          <w:rFonts w:ascii="Times New Roman" w:hAnsi="Times New Roman" w:cs="Times New Roman"/>
          <w:sz w:val="24"/>
          <w:szCs w:val="24"/>
        </w:rPr>
        <w:t xml:space="preserve">le corti internazionali, che nasce e si sviluppa da un </w:t>
      </w:r>
      <w:r>
        <w:rPr>
          <w:rFonts w:ascii="Times New Roman" w:hAnsi="Times New Roman" w:cs="Times New Roman"/>
          <w:i/>
          <w:sz w:val="24"/>
          <w:szCs w:val="24"/>
        </w:rPr>
        <w:t>mix</w:t>
      </w:r>
      <w:r>
        <w:rPr>
          <w:rFonts w:ascii="Times New Roman" w:hAnsi="Times New Roman" w:cs="Times New Roman"/>
          <w:sz w:val="24"/>
          <w:szCs w:val="24"/>
        </w:rPr>
        <w:t xml:space="preserve"> di tradizioni giuridiche differenti, tali essendo quelle tipiche degli Stati-parte, e che è capace di adattarsi, nelle sue linee di fondo, ad esse, in modalità sicuramente utili anche all’operatore giuridico nazionale.</w:t>
      </w:r>
    </w:p>
    <w:p w:rsidR="00386B1C" w:rsidRDefault="00386B1C" w:rsidP="0003046E">
      <w:pPr>
        <w:spacing w:after="0"/>
        <w:jc w:val="both"/>
        <w:rPr>
          <w:rFonts w:ascii="Times New Roman" w:hAnsi="Times New Roman" w:cs="Times New Roman"/>
          <w:sz w:val="24"/>
          <w:szCs w:val="24"/>
        </w:rPr>
      </w:pPr>
      <w:r>
        <w:rPr>
          <w:rFonts w:ascii="Times New Roman" w:hAnsi="Times New Roman" w:cs="Times New Roman"/>
          <w:sz w:val="24"/>
          <w:szCs w:val="24"/>
        </w:rPr>
        <w:tab/>
        <w:t xml:space="preserve">Così, non v’è chi non s’accorga del metodo, di grande razionalità, seguito dal </w:t>
      </w:r>
      <w:r>
        <w:rPr>
          <w:rFonts w:ascii="Times New Roman" w:hAnsi="Times New Roman" w:cs="Times New Roman"/>
          <w:i/>
          <w:sz w:val="24"/>
          <w:szCs w:val="24"/>
        </w:rPr>
        <w:t>Prosecutor</w:t>
      </w:r>
      <w:r>
        <w:rPr>
          <w:rFonts w:ascii="Times New Roman" w:hAnsi="Times New Roman" w:cs="Times New Roman"/>
          <w:sz w:val="24"/>
          <w:szCs w:val="24"/>
        </w:rPr>
        <w:t xml:space="preserve"> nel caso </w:t>
      </w:r>
      <w:r>
        <w:rPr>
          <w:rFonts w:ascii="Times New Roman" w:hAnsi="Times New Roman" w:cs="Times New Roman"/>
          <w:i/>
          <w:sz w:val="24"/>
          <w:szCs w:val="24"/>
        </w:rPr>
        <w:t>Kunarac</w:t>
      </w:r>
      <w:r>
        <w:rPr>
          <w:rFonts w:ascii="Times New Roman" w:hAnsi="Times New Roman" w:cs="Times New Roman"/>
          <w:sz w:val="24"/>
          <w:szCs w:val="24"/>
        </w:rPr>
        <w:t>, allorché definiva una classificazione dei testimoni, in ragione del loro contatto con il delitto, e, per ogni gruppo individuato</w:t>
      </w:r>
      <w:r w:rsidR="003F627C">
        <w:rPr>
          <w:rFonts w:ascii="Times New Roman" w:hAnsi="Times New Roman" w:cs="Times New Roman"/>
          <w:sz w:val="24"/>
          <w:szCs w:val="24"/>
        </w:rPr>
        <w:t>,</w:t>
      </w:r>
      <w:r>
        <w:rPr>
          <w:rFonts w:ascii="Times New Roman" w:hAnsi="Times New Roman" w:cs="Times New Roman"/>
          <w:sz w:val="24"/>
          <w:szCs w:val="24"/>
        </w:rPr>
        <w:t xml:space="preserve"> poneva altrettante regole di valutazione della loro credibilità. Ugualmente, le </w:t>
      </w:r>
      <w:r>
        <w:rPr>
          <w:rFonts w:ascii="Times New Roman" w:hAnsi="Times New Roman" w:cs="Times New Roman"/>
          <w:i/>
          <w:sz w:val="24"/>
          <w:szCs w:val="24"/>
        </w:rPr>
        <w:t>guidelines</w:t>
      </w:r>
      <w:r>
        <w:rPr>
          <w:rFonts w:ascii="Times New Roman" w:hAnsi="Times New Roman" w:cs="Times New Roman"/>
          <w:sz w:val="24"/>
          <w:szCs w:val="24"/>
        </w:rPr>
        <w:t xml:space="preserve"> elaborate tanto dal Tribunale per la ex Jugoslavia, quanto da quello per il Ruanda, nell’elenco dei fattori esterni suscettibili di incidere sui </w:t>
      </w:r>
      <w:r>
        <w:rPr>
          <w:rFonts w:ascii="Times New Roman" w:hAnsi="Times New Roman" w:cs="Times New Roman"/>
          <w:i/>
          <w:sz w:val="24"/>
          <w:szCs w:val="24"/>
        </w:rPr>
        <w:t>dicta</w:t>
      </w:r>
      <w:r>
        <w:rPr>
          <w:rFonts w:ascii="Times New Roman" w:hAnsi="Times New Roman" w:cs="Times New Roman"/>
          <w:sz w:val="24"/>
          <w:szCs w:val="24"/>
        </w:rPr>
        <w:t xml:space="preserve"> delle vittime</w:t>
      </w:r>
      <w:r w:rsidR="003F627C">
        <w:rPr>
          <w:rFonts w:ascii="Times New Roman" w:hAnsi="Times New Roman" w:cs="Times New Roman"/>
          <w:sz w:val="24"/>
          <w:szCs w:val="24"/>
        </w:rPr>
        <w:t xml:space="preserve"> consentono una migliore</w:t>
      </w:r>
      <w:r w:rsidR="0012782E">
        <w:rPr>
          <w:rFonts w:ascii="Times New Roman" w:hAnsi="Times New Roman" w:cs="Times New Roman"/>
          <w:sz w:val="24"/>
          <w:szCs w:val="24"/>
        </w:rPr>
        <w:t xml:space="preserve"> gestione del caso concreto e, con esso, del rapporto con il testimone</w:t>
      </w:r>
      <w:r w:rsidR="003F627C">
        <w:rPr>
          <w:rFonts w:ascii="Times New Roman" w:hAnsi="Times New Roman" w:cs="Times New Roman"/>
          <w:sz w:val="24"/>
          <w:szCs w:val="24"/>
        </w:rPr>
        <w:t>,</w:t>
      </w:r>
      <w:r w:rsidR="0012782E">
        <w:rPr>
          <w:rFonts w:ascii="Times New Roman" w:hAnsi="Times New Roman" w:cs="Times New Roman"/>
          <w:sz w:val="24"/>
          <w:szCs w:val="24"/>
        </w:rPr>
        <w:t xml:space="preserve"> che sia anche persona offesa, durante il processo.</w:t>
      </w:r>
    </w:p>
    <w:p w:rsidR="0012782E" w:rsidRDefault="0012782E" w:rsidP="0003046E">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Per altro verso, le tecniche finalizzate ad evitare la vittimizzazione secondaria – quali l’uso di schermi idonei ad interrompere il contatto visivo tra vittima e imputato o l’individuazione dei testimoni mediante numeri o acronimi o, ancora, come fu in </w:t>
      </w:r>
      <w:r>
        <w:rPr>
          <w:rFonts w:ascii="Times New Roman" w:hAnsi="Times New Roman" w:cs="Times New Roman"/>
          <w:i/>
          <w:sz w:val="24"/>
          <w:szCs w:val="24"/>
        </w:rPr>
        <w:t>Bemba</w:t>
      </w:r>
      <w:r>
        <w:rPr>
          <w:rFonts w:ascii="Times New Roman" w:hAnsi="Times New Roman" w:cs="Times New Roman"/>
          <w:sz w:val="24"/>
          <w:szCs w:val="24"/>
        </w:rPr>
        <w:t xml:space="preserve">, il collegamento a distanza con i dichiaranti, dei quali si poteva sentire la voce, ma non </w:t>
      </w:r>
      <w:r w:rsidR="007A762D">
        <w:rPr>
          <w:rFonts w:ascii="Times New Roman" w:hAnsi="Times New Roman" w:cs="Times New Roman"/>
          <w:sz w:val="24"/>
          <w:szCs w:val="24"/>
        </w:rPr>
        <w:t xml:space="preserve">bene </w:t>
      </w:r>
      <w:r>
        <w:rPr>
          <w:rFonts w:ascii="Times New Roman" w:hAnsi="Times New Roman" w:cs="Times New Roman"/>
          <w:sz w:val="24"/>
          <w:szCs w:val="24"/>
        </w:rPr>
        <w:t>l’immagine, invece, volutamente sfocata – sono strumenti utili, in potenza, a riempire di significato sintagmi come «audizione protetta» o simili, che pure compaiono nel diritto interno.</w:t>
      </w:r>
    </w:p>
    <w:p w:rsidR="0012782E" w:rsidRDefault="0012782E" w:rsidP="0003046E">
      <w:pPr>
        <w:spacing w:after="0"/>
        <w:jc w:val="both"/>
        <w:rPr>
          <w:rFonts w:ascii="Times New Roman" w:hAnsi="Times New Roman" w:cs="Times New Roman"/>
          <w:sz w:val="24"/>
          <w:szCs w:val="24"/>
        </w:rPr>
      </w:pPr>
      <w:r>
        <w:rPr>
          <w:rFonts w:ascii="Times New Roman" w:hAnsi="Times New Roman" w:cs="Times New Roman"/>
          <w:sz w:val="24"/>
          <w:szCs w:val="24"/>
        </w:rPr>
        <w:tab/>
        <w:t>Ancora, l’idea</w:t>
      </w:r>
      <w:r w:rsidR="00527704">
        <w:rPr>
          <w:rFonts w:ascii="Times New Roman" w:hAnsi="Times New Roman" w:cs="Times New Roman"/>
          <w:sz w:val="24"/>
          <w:szCs w:val="24"/>
        </w:rPr>
        <w:t xml:space="preserve"> –</w:t>
      </w:r>
      <w:r>
        <w:rPr>
          <w:rFonts w:ascii="Times New Roman" w:hAnsi="Times New Roman" w:cs="Times New Roman"/>
          <w:sz w:val="24"/>
          <w:szCs w:val="24"/>
        </w:rPr>
        <w:t xml:space="preserve"> fatta propria, al di là delle criticità più sopra esaminate</w:t>
      </w:r>
      <w:r w:rsidR="00527704">
        <w:rPr>
          <w:rFonts w:ascii="Times New Roman" w:hAnsi="Times New Roman" w:cs="Times New Roman"/>
          <w:sz w:val="24"/>
          <w:szCs w:val="24"/>
        </w:rPr>
        <w:t>,</w:t>
      </w:r>
      <w:r>
        <w:rPr>
          <w:rFonts w:ascii="Times New Roman" w:hAnsi="Times New Roman" w:cs="Times New Roman"/>
          <w:sz w:val="24"/>
          <w:szCs w:val="24"/>
        </w:rPr>
        <w:t xml:space="preserve"> da</w:t>
      </w:r>
      <w:r w:rsidR="00527704">
        <w:rPr>
          <w:rFonts w:ascii="Times New Roman" w:hAnsi="Times New Roman" w:cs="Times New Roman"/>
          <w:sz w:val="24"/>
          <w:szCs w:val="24"/>
        </w:rPr>
        <w:t>lla Corte penale internazionale –</w:t>
      </w:r>
      <w:r>
        <w:rPr>
          <w:rFonts w:ascii="Times New Roman" w:hAnsi="Times New Roman" w:cs="Times New Roman"/>
          <w:sz w:val="24"/>
          <w:szCs w:val="24"/>
        </w:rPr>
        <w:t xml:space="preserve"> di un’assistenza alle vittime che vada oltre il processo potrebbe fornire un’indicazione utile </w:t>
      </w:r>
      <w:r w:rsidR="00AA0776">
        <w:rPr>
          <w:rFonts w:ascii="Times New Roman" w:hAnsi="Times New Roman" w:cs="Times New Roman"/>
          <w:sz w:val="24"/>
          <w:szCs w:val="24"/>
        </w:rPr>
        <w:t>a realizzare obiettivi espressi, per esempio, proprio dal</w:t>
      </w:r>
      <w:r>
        <w:rPr>
          <w:rFonts w:ascii="Times New Roman" w:hAnsi="Times New Roman" w:cs="Times New Roman"/>
          <w:sz w:val="24"/>
          <w:szCs w:val="24"/>
        </w:rPr>
        <w:t xml:space="preserve"> diritto eurounitario</w:t>
      </w:r>
      <w:r w:rsidR="00AA0776">
        <w:rPr>
          <w:rFonts w:ascii="Times New Roman" w:hAnsi="Times New Roman" w:cs="Times New Roman"/>
          <w:sz w:val="24"/>
          <w:szCs w:val="24"/>
        </w:rPr>
        <w:t>,</w:t>
      </w:r>
      <w:r>
        <w:rPr>
          <w:rFonts w:ascii="Times New Roman" w:hAnsi="Times New Roman" w:cs="Times New Roman"/>
          <w:sz w:val="24"/>
          <w:szCs w:val="24"/>
        </w:rPr>
        <w:t xml:space="preserve"> quando </w:t>
      </w:r>
      <w:r w:rsidR="00AA0776">
        <w:rPr>
          <w:rFonts w:ascii="Times New Roman" w:hAnsi="Times New Roman" w:cs="Times New Roman"/>
          <w:sz w:val="24"/>
          <w:szCs w:val="24"/>
        </w:rPr>
        <w:t>impiega termini analoghi nella direttiva sulla vittima, la 2012/29/UE, all’art. 9</w:t>
      </w:r>
      <w:r>
        <w:rPr>
          <w:rFonts w:ascii="Times New Roman" w:hAnsi="Times New Roman" w:cs="Times New Roman"/>
          <w:sz w:val="24"/>
          <w:szCs w:val="24"/>
        </w:rPr>
        <w:t xml:space="preserve">. Insomma, è sul recupero della dicotomia </w:t>
      </w:r>
      <w:r>
        <w:rPr>
          <w:rFonts w:ascii="Times New Roman" w:hAnsi="Times New Roman" w:cs="Times New Roman"/>
          <w:i/>
          <w:sz w:val="24"/>
          <w:szCs w:val="24"/>
        </w:rPr>
        <w:t>reparation</w:t>
      </w:r>
      <w:r>
        <w:rPr>
          <w:rFonts w:ascii="Times New Roman" w:hAnsi="Times New Roman" w:cs="Times New Roman"/>
          <w:sz w:val="24"/>
          <w:szCs w:val="24"/>
        </w:rPr>
        <w:t>/</w:t>
      </w:r>
      <w:r>
        <w:rPr>
          <w:rFonts w:ascii="Times New Roman" w:hAnsi="Times New Roman" w:cs="Times New Roman"/>
          <w:i/>
          <w:sz w:val="24"/>
          <w:szCs w:val="24"/>
        </w:rPr>
        <w:t>victim support</w:t>
      </w:r>
      <w:r>
        <w:rPr>
          <w:rFonts w:ascii="Times New Roman" w:hAnsi="Times New Roman" w:cs="Times New Roman"/>
          <w:sz w:val="24"/>
          <w:szCs w:val="24"/>
        </w:rPr>
        <w:t xml:space="preserve"> che occorre lavorare, sfuggendo finalmente all’idea per cui l’offeso sia tale in processo, in quanto attende di essere risarcito, lì esaurendosi il proprio interesse alla contesa. S’è visto, infatti, che </w:t>
      </w:r>
      <w:r w:rsidR="00953FF5">
        <w:rPr>
          <w:rFonts w:ascii="Times New Roman" w:hAnsi="Times New Roman" w:cs="Times New Roman"/>
          <w:sz w:val="24"/>
          <w:szCs w:val="24"/>
        </w:rPr>
        <w:t xml:space="preserve">la riparazione economica è solo una delle voci nelle quali si estrinseca, nel diritto della Corte dell’Aja, il più generale concetto di riparazione, che </w:t>
      </w:r>
      <w:r w:rsidR="00527704">
        <w:rPr>
          <w:rFonts w:ascii="Times New Roman" w:hAnsi="Times New Roman" w:cs="Times New Roman"/>
          <w:sz w:val="24"/>
          <w:szCs w:val="24"/>
        </w:rPr>
        <w:t>passa attraverso i connotati</w:t>
      </w:r>
      <w:r w:rsidR="00953FF5">
        <w:rPr>
          <w:rFonts w:ascii="Times New Roman" w:hAnsi="Times New Roman" w:cs="Times New Roman"/>
          <w:sz w:val="24"/>
          <w:szCs w:val="24"/>
        </w:rPr>
        <w:t xml:space="preserve"> tipici della giustizia riparativa e – azzardiamo – della mediazione penale.</w:t>
      </w:r>
    </w:p>
    <w:p w:rsidR="00953FF5" w:rsidRDefault="00953FF5" w:rsidP="0003046E">
      <w:pPr>
        <w:spacing w:after="0"/>
        <w:jc w:val="both"/>
        <w:rPr>
          <w:rFonts w:ascii="Times New Roman" w:hAnsi="Times New Roman" w:cs="Times New Roman"/>
          <w:sz w:val="24"/>
          <w:szCs w:val="24"/>
        </w:rPr>
      </w:pPr>
      <w:r>
        <w:rPr>
          <w:rFonts w:ascii="Times New Roman" w:hAnsi="Times New Roman" w:cs="Times New Roman"/>
          <w:sz w:val="24"/>
          <w:szCs w:val="24"/>
        </w:rPr>
        <w:tab/>
        <w:t xml:space="preserve">Il tema è, poi, stato affrontato guardando al reato ginocidiario. Si diceva in apertura: esso è utile paradigma a cogliere l’evoluzione compiuta nell’ultimo quarto di secolo dalla giustizia penale internazionale in ordine al ruolo della vittima nel processo. E così è stato: il confronto tra le tre pronunce </w:t>
      </w:r>
      <w:r w:rsidR="00AA0776">
        <w:rPr>
          <w:rFonts w:ascii="Times New Roman" w:hAnsi="Times New Roman" w:cs="Times New Roman"/>
          <w:sz w:val="24"/>
          <w:szCs w:val="24"/>
        </w:rPr>
        <w:t>qui</w:t>
      </w:r>
      <w:r>
        <w:rPr>
          <w:rFonts w:ascii="Times New Roman" w:hAnsi="Times New Roman" w:cs="Times New Roman"/>
          <w:sz w:val="24"/>
          <w:szCs w:val="24"/>
        </w:rPr>
        <w:t xml:space="preserve"> esaminate ha permesso di comprendere come le più moderne linee guida nell’operato della Corte dell’Aja impongano di acquisire a giudizio la prova delle conseguenze del fatto criminoso, e non tanto – si diceva – per accordare un risarcimento al danneggiato, quanto per intavolare, su di esse, un percorso di recupero che si traduca, in potenza, nella ricomposizione del conflitto sociale </w:t>
      </w:r>
      <w:r w:rsidR="002C56A5">
        <w:rPr>
          <w:rFonts w:ascii="Times New Roman" w:hAnsi="Times New Roman" w:cs="Times New Roman"/>
          <w:sz w:val="24"/>
          <w:szCs w:val="24"/>
        </w:rPr>
        <w:t>originato</w:t>
      </w:r>
      <w:r>
        <w:rPr>
          <w:rFonts w:ascii="Times New Roman" w:hAnsi="Times New Roman" w:cs="Times New Roman"/>
          <w:sz w:val="24"/>
          <w:szCs w:val="24"/>
        </w:rPr>
        <w:t xml:space="preserve"> dal reato. </w:t>
      </w:r>
    </w:p>
    <w:p w:rsidR="00953FF5" w:rsidRDefault="00953FF5" w:rsidP="0003046E">
      <w:pPr>
        <w:spacing w:after="0"/>
        <w:jc w:val="both"/>
        <w:rPr>
          <w:rFonts w:ascii="Times New Roman" w:hAnsi="Times New Roman" w:cs="Times New Roman"/>
          <w:sz w:val="24"/>
          <w:szCs w:val="24"/>
        </w:rPr>
      </w:pPr>
      <w:r>
        <w:rPr>
          <w:rFonts w:ascii="Times New Roman" w:hAnsi="Times New Roman" w:cs="Times New Roman"/>
          <w:sz w:val="24"/>
          <w:szCs w:val="24"/>
        </w:rPr>
        <w:tab/>
        <w:t xml:space="preserve">L’obiettivo che si pone la giustizia penale internazionale è ambizioso, e gli ostacoli </w:t>
      </w:r>
      <w:r w:rsidR="00B64DCC">
        <w:rPr>
          <w:rFonts w:ascii="Times New Roman" w:hAnsi="Times New Roman" w:cs="Times New Roman"/>
          <w:sz w:val="24"/>
          <w:szCs w:val="24"/>
        </w:rPr>
        <w:t>lungo la via per realizzarlo son</w:t>
      </w:r>
      <w:r>
        <w:rPr>
          <w:rFonts w:ascii="Times New Roman" w:hAnsi="Times New Roman" w:cs="Times New Roman"/>
          <w:sz w:val="24"/>
          <w:szCs w:val="24"/>
        </w:rPr>
        <w:t>o ancora tanti: quel che, però, lo studioso del processo deve cogliere è la possibilità di uno scambio, appunto, di buone prassi, che permettano, anche nel piccolo degli affari nazionali, di meglio razionalizzare le risorse in giudizio che ruotano attorno all’offeso, con l’obiettivo di definire criteri che permettano di distinguere più facilmente le vittime false da quelle vere, e servizi che possano offrire a queste ultime la solida assistenza di cui abbisognano.</w:t>
      </w:r>
    </w:p>
    <w:p w:rsidR="00953FF5" w:rsidRPr="00953FF5" w:rsidRDefault="00953FF5" w:rsidP="0003046E">
      <w:pPr>
        <w:spacing w:after="0"/>
        <w:jc w:val="both"/>
        <w:rPr>
          <w:rFonts w:ascii="Times New Roman" w:hAnsi="Times New Roman" w:cs="Times New Roman"/>
          <w:sz w:val="24"/>
          <w:szCs w:val="24"/>
        </w:rPr>
      </w:pPr>
      <w:r>
        <w:rPr>
          <w:rFonts w:ascii="Times New Roman" w:hAnsi="Times New Roman" w:cs="Times New Roman"/>
          <w:sz w:val="24"/>
          <w:szCs w:val="24"/>
        </w:rPr>
        <w:tab/>
        <w:t xml:space="preserve">In questo va colto – e apprezzato – lo sforzo della giustizia penale internazionale, e in questo senso – si crede – l’interprete deve imparare a leggere tra i livelli diversi del diritto esterno allo Stato, così da </w:t>
      </w:r>
      <w:r w:rsidR="00AA0776">
        <w:rPr>
          <w:rFonts w:ascii="Times New Roman" w:hAnsi="Times New Roman" w:cs="Times New Roman"/>
          <w:sz w:val="24"/>
          <w:szCs w:val="24"/>
        </w:rPr>
        <w:t>capire finalmente</w:t>
      </w:r>
      <w:r>
        <w:rPr>
          <w:rFonts w:ascii="Times New Roman" w:hAnsi="Times New Roman" w:cs="Times New Roman"/>
          <w:sz w:val="24"/>
          <w:szCs w:val="24"/>
        </w:rPr>
        <w:t xml:space="preserve"> come orientare al meglio le risorse di cui dispone e come soddisfare in modo efficace le esigenze che, provenienti da oltre confine, di giorno in giorno si fanno sempre più pressanti nell’ottica della creazione di un vero e proprio ordine pubblico,</w:t>
      </w:r>
      <w:r w:rsidR="00AA0776">
        <w:rPr>
          <w:rFonts w:ascii="Times New Roman" w:hAnsi="Times New Roman" w:cs="Times New Roman"/>
          <w:sz w:val="24"/>
          <w:szCs w:val="24"/>
        </w:rPr>
        <w:t xml:space="preserve"> ovviamente, e ormai,</w:t>
      </w:r>
      <w:r>
        <w:rPr>
          <w:rFonts w:ascii="Times New Roman" w:hAnsi="Times New Roman" w:cs="Times New Roman"/>
          <w:sz w:val="24"/>
          <w:szCs w:val="24"/>
        </w:rPr>
        <w:t xml:space="preserve"> non solo nazionale. </w:t>
      </w:r>
    </w:p>
    <w:sectPr w:rsidR="00953FF5" w:rsidRPr="00953FF5" w:rsidSect="004B65F2">
      <w:footerReference w:type="default" r:id="rId7"/>
      <w:pgSz w:w="11906" w:h="16838"/>
      <w:pgMar w:top="1701" w:right="1701" w:bottom="170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D52" w:rsidRDefault="008C3D52" w:rsidP="00E479EE">
      <w:pPr>
        <w:spacing w:after="0" w:line="240" w:lineRule="auto"/>
      </w:pPr>
      <w:r>
        <w:separator/>
      </w:r>
    </w:p>
  </w:endnote>
  <w:endnote w:type="continuationSeparator" w:id="1">
    <w:p w:rsidR="008C3D52" w:rsidRDefault="008C3D52" w:rsidP="00E479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333329"/>
      <w:docPartObj>
        <w:docPartGallery w:val="Page Numbers (Bottom of Page)"/>
        <w:docPartUnique/>
      </w:docPartObj>
    </w:sdtPr>
    <w:sdtContent>
      <w:p w:rsidR="003F627C" w:rsidRDefault="003F627C">
        <w:pPr>
          <w:pStyle w:val="Pidipagina"/>
          <w:jc w:val="center"/>
        </w:pPr>
        <w:r w:rsidRPr="000354D3">
          <w:rPr>
            <w:rFonts w:ascii="Times New Roman" w:hAnsi="Times New Roman" w:cs="Times New Roman"/>
          </w:rPr>
          <w:fldChar w:fldCharType="begin"/>
        </w:r>
        <w:r w:rsidRPr="000354D3">
          <w:rPr>
            <w:rFonts w:ascii="Times New Roman" w:hAnsi="Times New Roman" w:cs="Times New Roman"/>
          </w:rPr>
          <w:instrText xml:space="preserve"> PAGE   \* MERGEFORMAT </w:instrText>
        </w:r>
        <w:r w:rsidRPr="000354D3">
          <w:rPr>
            <w:rFonts w:ascii="Times New Roman" w:hAnsi="Times New Roman" w:cs="Times New Roman"/>
          </w:rPr>
          <w:fldChar w:fldCharType="separate"/>
        </w:r>
        <w:r w:rsidR="007A762D">
          <w:rPr>
            <w:rFonts w:ascii="Times New Roman" w:hAnsi="Times New Roman" w:cs="Times New Roman"/>
            <w:noProof/>
          </w:rPr>
          <w:t>1</w:t>
        </w:r>
        <w:r w:rsidRPr="000354D3">
          <w:rPr>
            <w:rFonts w:ascii="Times New Roman" w:hAnsi="Times New Roman" w:cs="Times New Roman"/>
          </w:rPr>
          <w:fldChar w:fldCharType="end"/>
        </w:r>
      </w:p>
    </w:sdtContent>
  </w:sdt>
  <w:p w:rsidR="003F627C" w:rsidRDefault="003F627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D52" w:rsidRDefault="008C3D52" w:rsidP="00E479EE">
      <w:pPr>
        <w:spacing w:after="0" w:line="240" w:lineRule="auto"/>
      </w:pPr>
      <w:r>
        <w:separator/>
      </w:r>
    </w:p>
  </w:footnote>
  <w:footnote w:type="continuationSeparator" w:id="1">
    <w:p w:rsidR="008C3D52" w:rsidRDefault="008C3D52" w:rsidP="00E479EE">
      <w:pPr>
        <w:spacing w:after="0" w:line="240" w:lineRule="auto"/>
      </w:pPr>
      <w:r>
        <w:continuationSeparator/>
      </w:r>
    </w:p>
  </w:footnote>
  <w:footnote w:id="2">
    <w:p w:rsidR="00A96D10" w:rsidRDefault="00A96D10" w:rsidP="00A96D10">
      <w:pPr>
        <w:pStyle w:val="Testonotaapidipagina"/>
        <w:ind w:firstLine="708"/>
        <w:jc w:val="both"/>
        <w:rPr>
          <w:rFonts w:ascii="Times New Roman" w:hAnsi="Times New Roman" w:cs="Times New Roman"/>
        </w:rPr>
      </w:pPr>
      <w:r w:rsidRPr="003F627C">
        <w:rPr>
          <w:rFonts w:ascii="Times New Roman" w:hAnsi="Times New Roman" w:cs="Times New Roman"/>
        </w:rPr>
        <w:t>* Assegnista di ricerca in D</w:t>
      </w:r>
      <w:r>
        <w:rPr>
          <w:rFonts w:ascii="Times New Roman" w:hAnsi="Times New Roman" w:cs="Times New Roman"/>
        </w:rPr>
        <w:t>iritto processuale penale – Università di Ferrara (Italia).</w:t>
      </w:r>
    </w:p>
    <w:p w:rsidR="00A96D10" w:rsidRPr="00A96D10" w:rsidRDefault="00A96D10" w:rsidP="00A96D10">
      <w:pPr>
        <w:pStyle w:val="Testonotaapidipagina"/>
        <w:ind w:firstLine="708"/>
        <w:jc w:val="both"/>
        <w:rPr>
          <w:rFonts w:ascii="Times New Roman" w:hAnsi="Times New Roman" w:cs="Times New Roman"/>
        </w:rPr>
      </w:pPr>
      <w:r w:rsidRPr="00A96D10">
        <w:rPr>
          <w:rStyle w:val="Rimandonotaapidipagina"/>
          <w:rFonts w:ascii="Times New Roman" w:hAnsi="Times New Roman" w:cs="Times New Roman"/>
        </w:rPr>
        <w:footnoteRef/>
      </w:r>
      <w:r w:rsidRPr="00A96D10">
        <w:rPr>
          <w:rFonts w:ascii="Times New Roman" w:hAnsi="Times New Roman" w:cs="Times New Roman"/>
        </w:rPr>
        <w:t xml:space="preserve"> Questo lavoro è il risulta</w:t>
      </w:r>
      <w:r>
        <w:rPr>
          <w:rFonts w:ascii="Times New Roman" w:hAnsi="Times New Roman" w:cs="Times New Roman"/>
        </w:rPr>
        <w:t xml:space="preserve">to della ricerca compiuta, presso l’Università di Lubiana (Slovenia) nei periodi ivi trascorsi dall’Autore, dapprima come </w:t>
      </w:r>
      <w:r>
        <w:rPr>
          <w:rFonts w:ascii="Times New Roman" w:hAnsi="Times New Roman" w:cs="Times New Roman"/>
          <w:i/>
        </w:rPr>
        <w:t>Docente Erasmus+</w:t>
      </w:r>
      <w:r>
        <w:rPr>
          <w:rFonts w:ascii="Times New Roman" w:hAnsi="Times New Roman" w:cs="Times New Roman"/>
        </w:rPr>
        <w:t xml:space="preserve"> presso il corso di </w:t>
      </w:r>
      <w:r w:rsidRPr="00A96D10">
        <w:rPr>
          <w:rFonts w:ascii="Times New Roman" w:hAnsi="Times New Roman" w:cs="Times New Roman"/>
          <w:i/>
        </w:rPr>
        <w:t>Mednarodno Kazensko Pravo</w:t>
      </w:r>
      <w:r>
        <w:rPr>
          <w:rFonts w:ascii="Times New Roman" w:hAnsi="Times New Roman" w:cs="Times New Roman"/>
        </w:rPr>
        <w:t xml:space="preserve"> del Prof. Matja</w:t>
      </w:r>
      <w:r w:rsidRPr="00A96D10">
        <w:rPr>
          <w:rFonts w:ascii="Times New Roman" w:hAnsi="Times New Roman" w:cs="Times New Roman"/>
        </w:rPr>
        <w:t>ž</w:t>
      </w:r>
      <w:r>
        <w:rPr>
          <w:rFonts w:ascii="Times New Roman" w:hAnsi="Times New Roman" w:cs="Times New Roman"/>
        </w:rPr>
        <w:t xml:space="preserve"> </w:t>
      </w:r>
      <w:r w:rsidRPr="00A96D10">
        <w:rPr>
          <w:rFonts w:ascii="Times New Roman" w:hAnsi="Times New Roman" w:cs="Times New Roman"/>
        </w:rPr>
        <w:t>Ambrož</w:t>
      </w:r>
      <w:r>
        <w:rPr>
          <w:rFonts w:ascii="Times New Roman" w:hAnsi="Times New Roman" w:cs="Times New Roman"/>
        </w:rPr>
        <w:t xml:space="preserve"> (novembre 2016) e poi durante un </w:t>
      </w:r>
      <w:r>
        <w:rPr>
          <w:rFonts w:ascii="Times New Roman" w:hAnsi="Times New Roman" w:cs="Times New Roman"/>
          <w:i/>
        </w:rPr>
        <w:t>research stay</w:t>
      </w:r>
      <w:r>
        <w:rPr>
          <w:rFonts w:ascii="Times New Roman" w:hAnsi="Times New Roman" w:cs="Times New Roman"/>
        </w:rPr>
        <w:t xml:space="preserve">, sempre sotto la guida del Prof. </w:t>
      </w:r>
      <w:r w:rsidRPr="00A96D10">
        <w:rPr>
          <w:rFonts w:ascii="Times New Roman" w:hAnsi="Times New Roman" w:cs="Times New Roman"/>
        </w:rPr>
        <w:t>Ambrož</w:t>
      </w:r>
      <w:r>
        <w:rPr>
          <w:rFonts w:ascii="Times New Roman" w:hAnsi="Times New Roman" w:cs="Times New Roman"/>
        </w:rPr>
        <w:t xml:space="preserve"> (aprile 2017). Lo studio è stato, poi, presentato all’incontro di studi </w:t>
      </w:r>
      <w:r>
        <w:rPr>
          <w:rFonts w:ascii="Times New Roman" w:hAnsi="Times New Roman" w:cs="Times New Roman"/>
          <w:i/>
        </w:rPr>
        <w:t xml:space="preserve">Vittime … </w:t>
      </w:r>
      <w:r w:rsidRPr="00A96D10">
        <w:rPr>
          <w:rFonts w:ascii="Times New Roman" w:hAnsi="Times New Roman" w:cs="Times New Roman"/>
          <w:i/>
        </w:rPr>
        <w:t>Un confronto tra due Nazioni</w:t>
      </w:r>
      <w:r w:rsidRPr="00A96D10">
        <w:rPr>
          <w:rFonts w:ascii="Times New Roman" w:hAnsi="Times New Roman" w:cs="Times New Roman"/>
        </w:rPr>
        <w:t>,</w:t>
      </w:r>
      <w:r>
        <w:rPr>
          <w:rFonts w:ascii="Times New Roman" w:hAnsi="Times New Roman" w:cs="Times New Roman"/>
        </w:rPr>
        <w:t xml:space="preserve"> organizzato dall’Università di Ferrara e</w:t>
      </w:r>
      <w:r w:rsidRPr="00A96D10">
        <w:rPr>
          <w:rFonts w:ascii="Times New Roman" w:hAnsi="Times New Roman" w:cs="Times New Roman"/>
        </w:rPr>
        <w:t xml:space="preserve"> tenutosi a Rovigo i</w:t>
      </w:r>
      <w:r>
        <w:rPr>
          <w:rFonts w:ascii="Times New Roman" w:hAnsi="Times New Roman" w:cs="Times New Roman"/>
        </w:rPr>
        <w:t>l 5 maggio 2017.</w:t>
      </w:r>
    </w:p>
  </w:footnote>
  <w:footnote w:id="3">
    <w:p w:rsidR="003F627C" w:rsidRPr="00A96D10" w:rsidRDefault="003F627C" w:rsidP="00E479EE">
      <w:pPr>
        <w:pStyle w:val="Testonotaapidipagina"/>
        <w:ind w:firstLine="708"/>
        <w:jc w:val="both"/>
        <w:rPr>
          <w:rFonts w:ascii="Times New Roman" w:hAnsi="Times New Roman" w:cs="Times New Roman"/>
          <w:lang w:val="en-US"/>
        </w:rPr>
      </w:pPr>
      <w:r w:rsidRPr="00E479EE">
        <w:rPr>
          <w:rStyle w:val="Rimandonotaapidipagina"/>
          <w:rFonts w:ascii="Times New Roman" w:hAnsi="Times New Roman" w:cs="Times New Roman"/>
        </w:rPr>
        <w:footnoteRef/>
      </w:r>
      <w:r w:rsidRPr="00A96D10">
        <w:rPr>
          <w:rFonts w:ascii="Times New Roman" w:hAnsi="Times New Roman" w:cs="Times New Roman"/>
          <w:lang w:val="en-US"/>
        </w:rPr>
        <w:t xml:space="preserve"> Così, Knoops, </w:t>
      </w:r>
      <w:r w:rsidRPr="00A96D10">
        <w:rPr>
          <w:rFonts w:ascii="Times New Roman" w:hAnsi="Times New Roman" w:cs="Times New Roman"/>
          <w:i/>
          <w:lang w:val="en-US"/>
        </w:rPr>
        <w:t>Theory and Practice of International and Internationalized Criminal Proceedings</w:t>
      </w:r>
      <w:r w:rsidRPr="00A96D10">
        <w:rPr>
          <w:rFonts w:ascii="Times New Roman" w:hAnsi="Times New Roman" w:cs="Times New Roman"/>
          <w:lang w:val="en-US"/>
        </w:rPr>
        <w:t>, Kluwer, 2005, p. 198.</w:t>
      </w:r>
    </w:p>
  </w:footnote>
  <w:footnote w:id="4">
    <w:p w:rsidR="003F627C" w:rsidRPr="007D1CA1" w:rsidRDefault="003F627C" w:rsidP="007D1CA1">
      <w:pPr>
        <w:pStyle w:val="Testonotaapidipagina"/>
        <w:ind w:firstLine="708"/>
        <w:jc w:val="both"/>
        <w:rPr>
          <w:rFonts w:ascii="Times New Roman" w:hAnsi="Times New Roman" w:cs="Times New Roman"/>
          <w:lang w:val="en-US"/>
        </w:rPr>
      </w:pPr>
      <w:r w:rsidRPr="007D1CA1">
        <w:rPr>
          <w:rStyle w:val="Rimandonotaapidipagina"/>
          <w:rFonts w:ascii="Times New Roman" w:hAnsi="Times New Roman" w:cs="Times New Roman"/>
        </w:rPr>
        <w:footnoteRef/>
      </w:r>
      <w:r w:rsidRPr="007D1CA1">
        <w:rPr>
          <w:rFonts w:ascii="Times New Roman" w:hAnsi="Times New Roman" w:cs="Times New Roman"/>
          <w:lang w:val="en-US"/>
        </w:rPr>
        <w:t xml:space="preserve"> Il termine viene usato da Knoops, </w:t>
      </w:r>
      <w:r w:rsidRPr="007D1CA1">
        <w:rPr>
          <w:rFonts w:ascii="Times New Roman" w:hAnsi="Times New Roman" w:cs="Times New Roman"/>
          <w:i/>
          <w:lang w:val="en-US"/>
        </w:rPr>
        <w:t>Theory and Practice</w:t>
      </w:r>
      <w:r w:rsidRPr="007D1CA1">
        <w:rPr>
          <w:rFonts w:ascii="Times New Roman" w:hAnsi="Times New Roman" w:cs="Times New Roman"/>
          <w:lang w:val="en-US"/>
        </w:rPr>
        <w:t xml:space="preserve">, cit., p. 198 con riferimento ad alcune pronunce dei Tribunali per la ex Jugoslavia e per il Ruanda: </w:t>
      </w:r>
      <w:r w:rsidRPr="007D1CA1">
        <w:rPr>
          <w:rFonts w:ascii="Times New Roman" w:hAnsi="Times New Roman" w:cs="Times New Roman"/>
          <w:i/>
          <w:lang w:val="en-US"/>
        </w:rPr>
        <w:t>ex multis</w:t>
      </w:r>
      <w:r w:rsidRPr="007D1CA1">
        <w:rPr>
          <w:rFonts w:ascii="Times New Roman" w:hAnsi="Times New Roman" w:cs="Times New Roman"/>
          <w:lang w:val="en-US"/>
        </w:rPr>
        <w:t>, Prosecutor v. Kayeishema and Ruzindana, case n. ICTR-95-1-T, Decision on the Motion Filed by the Prosecution on the Protection of Victims and Witnesses, 6 novembre 1996.</w:t>
      </w:r>
    </w:p>
  </w:footnote>
  <w:footnote w:id="5">
    <w:p w:rsidR="003F627C" w:rsidRPr="007D1CA1" w:rsidRDefault="003F627C" w:rsidP="007D1CA1">
      <w:pPr>
        <w:pStyle w:val="Testonotaapidipagina"/>
        <w:ind w:firstLine="708"/>
        <w:jc w:val="both"/>
        <w:rPr>
          <w:rFonts w:ascii="Times New Roman" w:hAnsi="Times New Roman" w:cs="Times New Roman"/>
          <w:lang w:val="en-US"/>
        </w:rPr>
      </w:pPr>
      <w:r w:rsidRPr="007D1CA1">
        <w:rPr>
          <w:rStyle w:val="Rimandonotaapidipagina"/>
          <w:rFonts w:ascii="Times New Roman" w:hAnsi="Times New Roman" w:cs="Times New Roman"/>
        </w:rPr>
        <w:footnoteRef/>
      </w:r>
      <w:r w:rsidRPr="007D1CA1">
        <w:rPr>
          <w:rFonts w:ascii="Times New Roman" w:hAnsi="Times New Roman" w:cs="Times New Roman"/>
          <w:lang w:val="en-US"/>
        </w:rPr>
        <w:t xml:space="preserve"> </w:t>
      </w:r>
      <w:r>
        <w:rPr>
          <w:rFonts w:ascii="Times New Roman" w:hAnsi="Times New Roman" w:cs="Times New Roman"/>
          <w:lang w:val="en-US"/>
        </w:rPr>
        <w:t xml:space="preserve">May, </w:t>
      </w:r>
      <w:r w:rsidRPr="00617146">
        <w:rPr>
          <w:rFonts w:ascii="Times New Roman" w:hAnsi="Times New Roman" w:cs="Times New Roman"/>
          <w:lang w:val="en-US"/>
        </w:rPr>
        <w:t xml:space="preserve">Wierda, </w:t>
      </w:r>
      <w:r w:rsidRPr="00617146">
        <w:rPr>
          <w:rFonts w:ascii="Times New Roman" w:hAnsi="Times New Roman" w:cs="Times New Roman"/>
          <w:i/>
          <w:lang w:val="en-US"/>
        </w:rPr>
        <w:t>International Criminal Evidence</w:t>
      </w:r>
      <w:r>
        <w:rPr>
          <w:rFonts w:ascii="Times New Roman" w:hAnsi="Times New Roman" w:cs="Times New Roman"/>
          <w:lang w:val="en-US"/>
        </w:rPr>
        <w:t>, Brill, 2002, p. 179 ss.</w:t>
      </w:r>
    </w:p>
  </w:footnote>
  <w:footnote w:id="6">
    <w:p w:rsidR="003F627C" w:rsidRPr="00B74F79" w:rsidRDefault="003F627C" w:rsidP="007D1CA1">
      <w:pPr>
        <w:pStyle w:val="Testonotaapidipagina"/>
        <w:ind w:firstLine="708"/>
        <w:jc w:val="both"/>
        <w:rPr>
          <w:rFonts w:ascii="Times New Roman" w:hAnsi="Times New Roman" w:cs="Times New Roman"/>
        </w:rPr>
      </w:pPr>
      <w:r w:rsidRPr="007D1CA1">
        <w:rPr>
          <w:rStyle w:val="Rimandonotaapidipagina"/>
          <w:rFonts w:ascii="Times New Roman" w:hAnsi="Times New Roman" w:cs="Times New Roman"/>
        </w:rPr>
        <w:footnoteRef/>
      </w:r>
      <w:r w:rsidRPr="00B74F79">
        <w:rPr>
          <w:rFonts w:ascii="Times New Roman" w:hAnsi="Times New Roman" w:cs="Times New Roman"/>
        </w:rPr>
        <w:t xml:space="preserve"> Articolo 16(4) SCSL Statute.  </w:t>
      </w:r>
    </w:p>
  </w:footnote>
  <w:footnote w:id="7">
    <w:p w:rsidR="003F627C" w:rsidRPr="00B74F79" w:rsidRDefault="003F627C" w:rsidP="007D1CA1">
      <w:pPr>
        <w:pStyle w:val="Testonotaapidipagina"/>
        <w:ind w:firstLine="708"/>
        <w:jc w:val="both"/>
        <w:rPr>
          <w:rFonts w:ascii="Times New Roman" w:hAnsi="Times New Roman" w:cs="Times New Roman"/>
        </w:rPr>
      </w:pPr>
      <w:r w:rsidRPr="007D1CA1">
        <w:rPr>
          <w:rStyle w:val="Rimandonotaapidipagina"/>
          <w:rFonts w:ascii="Times New Roman" w:hAnsi="Times New Roman" w:cs="Times New Roman"/>
        </w:rPr>
        <w:footnoteRef/>
      </w:r>
      <w:r w:rsidRPr="00B74F79">
        <w:rPr>
          <w:rFonts w:ascii="Times New Roman" w:hAnsi="Times New Roman" w:cs="Times New Roman"/>
        </w:rPr>
        <w:t xml:space="preserve"> Rule 89 ICC RPE.</w:t>
      </w:r>
    </w:p>
  </w:footnote>
  <w:footnote w:id="8">
    <w:p w:rsidR="003F627C" w:rsidRPr="001121B8" w:rsidRDefault="003F627C" w:rsidP="001121B8">
      <w:pPr>
        <w:pStyle w:val="Testonotaapidipagina"/>
        <w:ind w:firstLine="708"/>
        <w:jc w:val="both"/>
        <w:rPr>
          <w:rFonts w:ascii="Times New Roman" w:hAnsi="Times New Roman" w:cs="Times New Roman"/>
        </w:rPr>
      </w:pPr>
      <w:r w:rsidRPr="001121B8">
        <w:rPr>
          <w:rStyle w:val="Rimandonotaapidipagina"/>
          <w:rFonts w:ascii="Times New Roman" w:hAnsi="Times New Roman" w:cs="Times New Roman"/>
        </w:rPr>
        <w:footnoteRef/>
      </w:r>
      <w:r w:rsidRPr="001121B8">
        <w:rPr>
          <w:rFonts w:ascii="Times New Roman" w:hAnsi="Times New Roman" w:cs="Times New Roman"/>
        </w:rPr>
        <w:t xml:space="preserve"> </w:t>
      </w:r>
      <w:r>
        <w:rPr>
          <w:rFonts w:ascii="Times New Roman" w:hAnsi="Times New Roman" w:cs="Times New Roman"/>
        </w:rPr>
        <w:t xml:space="preserve">Il lemma “ginocidio” nasce nel pensiero femminista degli anni Sessanta, per un’analisi del quale si rimanda a Danna, </w:t>
      </w:r>
      <w:r>
        <w:rPr>
          <w:rFonts w:ascii="Times New Roman" w:hAnsi="Times New Roman" w:cs="Times New Roman"/>
          <w:i/>
        </w:rPr>
        <w:t>Ginocidio. La violenza contro le donne nell’era globale</w:t>
      </w:r>
      <w:r>
        <w:rPr>
          <w:rFonts w:ascii="Times New Roman" w:hAnsi="Times New Roman" w:cs="Times New Roman"/>
        </w:rPr>
        <w:t>, Eleuthera, 2007.</w:t>
      </w:r>
    </w:p>
  </w:footnote>
  <w:footnote w:id="9">
    <w:p w:rsidR="003F627C" w:rsidRPr="00D07854" w:rsidRDefault="003F627C" w:rsidP="00D07854">
      <w:pPr>
        <w:pStyle w:val="Testonotaapidipagina"/>
        <w:ind w:firstLine="708"/>
        <w:jc w:val="both"/>
        <w:rPr>
          <w:rFonts w:ascii="Times New Roman" w:hAnsi="Times New Roman" w:cs="Times New Roman"/>
          <w:lang w:val="en-US"/>
        </w:rPr>
      </w:pPr>
      <w:r w:rsidRPr="00D07854">
        <w:rPr>
          <w:rStyle w:val="Rimandonotaapidipagina"/>
          <w:rFonts w:ascii="Times New Roman" w:hAnsi="Times New Roman" w:cs="Times New Roman"/>
        </w:rPr>
        <w:footnoteRef/>
      </w:r>
      <w:r w:rsidRPr="00D07854">
        <w:rPr>
          <w:rFonts w:ascii="Times New Roman" w:hAnsi="Times New Roman" w:cs="Times New Roman"/>
        </w:rPr>
        <w:t xml:space="preserve"> </w:t>
      </w:r>
      <w:r>
        <w:rPr>
          <w:rFonts w:ascii="Times New Roman" w:hAnsi="Times New Roman" w:cs="Times New Roman"/>
        </w:rPr>
        <w:t xml:space="preserve">Come lo definì Kofi Annan all’apertura della Conferenza di Roma. </w:t>
      </w:r>
      <w:r>
        <w:rPr>
          <w:rFonts w:ascii="Times New Roman" w:hAnsi="Times New Roman" w:cs="Times New Roman"/>
          <w:lang w:val="en-US"/>
        </w:rPr>
        <w:t xml:space="preserve">Sul punto, </w:t>
      </w:r>
      <w:r w:rsidRPr="00D07854">
        <w:rPr>
          <w:rFonts w:ascii="Times New Roman" w:hAnsi="Times New Roman" w:cs="Times New Roman"/>
          <w:lang w:val="en-US"/>
        </w:rPr>
        <w:t xml:space="preserve">Moffett, </w:t>
      </w:r>
      <w:r w:rsidRPr="00D07854">
        <w:rPr>
          <w:rFonts w:ascii="Times New Roman" w:hAnsi="Times New Roman" w:cs="Times New Roman"/>
          <w:i/>
          <w:lang w:val="en-US"/>
        </w:rPr>
        <w:t>Justice for Victims Before the International Criminal Court</w:t>
      </w:r>
      <w:r>
        <w:rPr>
          <w:rFonts w:ascii="Times New Roman" w:hAnsi="Times New Roman" w:cs="Times New Roman"/>
          <w:lang w:val="en-US"/>
        </w:rPr>
        <w:t>, Routledge, 2014, p. 87.</w:t>
      </w:r>
    </w:p>
  </w:footnote>
  <w:footnote w:id="10">
    <w:p w:rsidR="003F627C" w:rsidRPr="00F11D97" w:rsidRDefault="003F627C" w:rsidP="00F11D97">
      <w:pPr>
        <w:pStyle w:val="Testonotaapidipagina"/>
        <w:ind w:firstLine="708"/>
        <w:jc w:val="both"/>
        <w:rPr>
          <w:rFonts w:ascii="Times New Roman" w:hAnsi="Times New Roman" w:cs="Times New Roman"/>
        </w:rPr>
      </w:pPr>
      <w:r w:rsidRPr="00F11D97">
        <w:rPr>
          <w:rStyle w:val="Rimandonotaapidipagina"/>
          <w:rFonts w:ascii="Times New Roman" w:hAnsi="Times New Roman" w:cs="Times New Roman"/>
        </w:rPr>
        <w:footnoteRef/>
      </w:r>
      <w:r w:rsidRPr="00F11D97">
        <w:rPr>
          <w:rFonts w:ascii="Times New Roman" w:hAnsi="Times New Roman" w:cs="Times New Roman"/>
        </w:rPr>
        <w:t xml:space="preserve"> </w:t>
      </w:r>
      <w:r>
        <w:rPr>
          <w:rFonts w:ascii="Times New Roman" w:hAnsi="Times New Roman" w:cs="Times New Roman"/>
        </w:rPr>
        <w:t>Articolo 5, lett. g), ICTY Statute; articolo 5, lett. g) ICTR Statute; articolo 2, lett. g) SCSL Statute; articolo 7, lett. g), ICC Statute.</w:t>
      </w:r>
    </w:p>
  </w:footnote>
  <w:footnote w:id="11">
    <w:p w:rsidR="003F627C" w:rsidRPr="00F11D97" w:rsidRDefault="003F627C" w:rsidP="00F11D97">
      <w:pPr>
        <w:pStyle w:val="Testonotaapidipagina"/>
        <w:ind w:firstLine="708"/>
        <w:jc w:val="both"/>
        <w:rPr>
          <w:rFonts w:ascii="Times New Roman" w:hAnsi="Times New Roman" w:cs="Times New Roman"/>
        </w:rPr>
      </w:pPr>
      <w:r w:rsidRPr="00F11D97">
        <w:rPr>
          <w:rStyle w:val="Rimandonotaapidipagina"/>
          <w:rFonts w:ascii="Times New Roman" w:hAnsi="Times New Roman" w:cs="Times New Roman"/>
        </w:rPr>
        <w:footnoteRef/>
      </w:r>
      <w:r>
        <w:rPr>
          <w:rFonts w:ascii="Times New Roman" w:hAnsi="Times New Roman" w:cs="Times New Roman"/>
        </w:rPr>
        <w:t xml:space="preserve"> Si pensi alla Convenzione dell’Aja del 1907 in tema di diritto bellico internazionale o alle Convenzioni di Ginevra del 1929 e del 1949, e ai loro protocolli addizionali. </w:t>
      </w:r>
      <w:r w:rsidRPr="00F11D97">
        <w:rPr>
          <w:rFonts w:ascii="Times New Roman" w:hAnsi="Times New Roman" w:cs="Times New Roman"/>
        </w:rPr>
        <w:t xml:space="preserve"> </w:t>
      </w:r>
    </w:p>
  </w:footnote>
  <w:footnote w:id="12">
    <w:p w:rsidR="003F627C" w:rsidRPr="0074327A" w:rsidRDefault="003F627C" w:rsidP="0074327A">
      <w:pPr>
        <w:pStyle w:val="Testonotaapidipagina"/>
        <w:ind w:firstLine="708"/>
        <w:jc w:val="both"/>
        <w:rPr>
          <w:rFonts w:ascii="Times New Roman" w:hAnsi="Times New Roman" w:cs="Times New Roman"/>
        </w:rPr>
      </w:pPr>
      <w:r w:rsidRPr="0074327A">
        <w:rPr>
          <w:rStyle w:val="Rimandonotaapidipagina"/>
          <w:rFonts w:ascii="Times New Roman" w:hAnsi="Times New Roman" w:cs="Times New Roman"/>
        </w:rPr>
        <w:footnoteRef/>
      </w:r>
      <w:r w:rsidRPr="0074327A">
        <w:rPr>
          <w:rFonts w:ascii="Times New Roman" w:hAnsi="Times New Roman" w:cs="Times New Roman"/>
        </w:rPr>
        <w:t xml:space="preserve"> </w:t>
      </w:r>
      <w:r>
        <w:rPr>
          <w:rFonts w:ascii="Times New Roman" w:hAnsi="Times New Roman" w:cs="Times New Roman"/>
        </w:rPr>
        <w:t xml:space="preserve">E per cui si rinvia anche a Korošec, Zagorac, Ambrož, </w:t>
      </w:r>
      <w:r>
        <w:rPr>
          <w:rFonts w:ascii="Times New Roman" w:hAnsi="Times New Roman" w:cs="Times New Roman"/>
          <w:i/>
        </w:rPr>
        <w:t>Mednarodno Kazensko Pravo Praktikum</w:t>
      </w:r>
      <w:r>
        <w:rPr>
          <w:rFonts w:ascii="Times New Roman" w:hAnsi="Times New Roman" w:cs="Times New Roman"/>
        </w:rPr>
        <w:t>, Založba Uradni List, 2006, p. 92 ss..</w:t>
      </w:r>
    </w:p>
  </w:footnote>
  <w:footnote w:id="13">
    <w:p w:rsidR="003F627C" w:rsidRPr="0074327A" w:rsidRDefault="003F627C" w:rsidP="0074327A">
      <w:pPr>
        <w:pStyle w:val="Testonotaapidipagina"/>
        <w:ind w:firstLine="708"/>
        <w:jc w:val="both"/>
        <w:rPr>
          <w:rFonts w:ascii="Times New Roman" w:hAnsi="Times New Roman" w:cs="Times New Roman"/>
        </w:rPr>
      </w:pPr>
      <w:r w:rsidRPr="0074327A">
        <w:rPr>
          <w:rStyle w:val="Rimandonotaapidipagina"/>
          <w:rFonts w:ascii="Times New Roman" w:hAnsi="Times New Roman" w:cs="Times New Roman"/>
        </w:rPr>
        <w:footnoteRef/>
      </w:r>
      <w:r w:rsidRPr="0074327A">
        <w:rPr>
          <w:rFonts w:ascii="Times New Roman" w:hAnsi="Times New Roman" w:cs="Times New Roman"/>
        </w:rPr>
        <w:t xml:space="preserve"> </w:t>
      </w:r>
      <w:r>
        <w:rPr>
          <w:rFonts w:ascii="Times New Roman" w:hAnsi="Times New Roman" w:cs="Times New Roman"/>
        </w:rPr>
        <w:t>La sentenza di primo grado è del 22 febbraio 2001 (case nn. IT-96-23 – IT-96-23-1/T); quella di secondo grado è del 12 giugno 2002 (case nn. IT-96-23 – IT-96-23-1/A).</w:t>
      </w:r>
    </w:p>
  </w:footnote>
  <w:footnote w:id="14">
    <w:p w:rsidR="003F627C" w:rsidRPr="00047DB9" w:rsidRDefault="003F627C" w:rsidP="00047DB9">
      <w:pPr>
        <w:pStyle w:val="Testonotaapidipagina"/>
        <w:ind w:firstLine="708"/>
        <w:jc w:val="both"/>
        <w:rPr>
          <w:rFonts w:ascii="Times New Roman" w:hAnsi="Times New Roman" w:cs="Times New Roman"/>
        </w:rPr>
      </w:pPr>
      <w:r w:rsidRPr="00047DB9">
        <w:rPr>
          <w:rStyle w:val="Rimandonotaapidipagina"/>
          <w:rFonts w:ascii="Times New Roman" w:hAnsi="Times New Roman" w:cs="Times New Roman"/>
        </w:rPr>
        <w:footnoteRef/>
      </w:r>
      <w:r>
        <w:rPr>
          <w:rFonts w:ascii="Times New Roman" w:hAnsi="Times New Roman" w:cs="Times New Roman"/>
        </w:rPr>
        <w:t xml:space="preserve"> Per una buona ricostruzione, fattuale e giuridica del caso, v. Lattanzi, Monetti (a cura di), </w:t>
      </w:r>
      <w:r>
        <w:rPr>
          <w:rFonts w:ascii="Times New Roman" w:hAnsi="Times New Roman" w:cs="Times New Roman"/>
          <w:i/>
        </w:rPr>
        <w:t>La Corte penale internazionale: organi, competenza, processo</w:t>
      </w:r>
      <w:r>
        <w:rPr>
          <w:rFonts w:ascii="Times New Roman" w:hAnsi="Times New Roman" w:cs="Times New Roman"/>
        </w:rPr>
        <w:t>, Giuffré, 2006, p. 686 ss.</w:t>
      </w:r>
    </w:p>
  </w:footnote>
  <w:footnote w:id="15">
    <w:p w:rsidR="003F627C" w:rsidRPr="00776D83" w:rsidRDefault="003F627C" w:rsidP="00776D83">
      <w:pPr>
        <w:pStyle w:val="Testonotaapidipagina"/>
        <w:ind w:firstLine="708"/>
        <w:jc w:val="both"/>
        <w:rPr>
          <w:rFonts w:ascii="Times New Roman" w:hAnsi="Times New Roman" w:cs="Times New Roman"/>
        </w:rPr>
      </w:pPr>
      <w:r w:rsidRPr="00776D83">
        <w:rPr>
          <w:rStyle w:val="Rimandonotaapidipagina"/>
          <w:rFonts w:ascii="Times New Roman" w:hAnsi="Times New Roman" w:cs="Times New Roman"/>
        </w:rPr>
        <w:footnoteRef/>
      </w:r>
      <w:r>
        <w:rPr>
          <w:rFonts w:ascii="Times New Roman" w:hAnsi="Times New Roman" w:cs="Times New Roman"/>
        </w:rPr>
        <w:t xml:space="preserve"> Circostanza evincibile dalla lettura del verbale delle attività del processo in primo grado, disponibile sul sito del Tribunale per la ex Jugoslavia, p. 321 (udienza del 20 marzo 2000).</w:t>
      </w:r>
      <w:r w:rsidRPr="00776D83">
        <w:rPr>
          <w:rFonts w:ascii="Times New Roman" w:hAnsi="Times New Roman" w:cs="Times New Roman"/>
        </w:rPr>
        <w:t xml:space="preserve"> </w:t>
      </w:r>
    </w:p>
  </w:footnote>
  <w:footnote w:id="16">
    <w:p w:rsidR="003F627C" w:rsidRPr="0092529E" w:rsidRDefault="003F627C" w:rsidP="0008210F">
      <w:pPr>
        <w:pStyle w:val="Testonotaapidipagina"/>
        <w:jc w:val="both"/>
        <w:rPr>
          <w:rFonts w:ascii="Times New Roman" w:hAnsi="Times New Roman" w:cs="Times New Roman"/>
        </w:rPr>
      </w:pPr>
      <w:r>
        <w:rPr>
          <w:rFonts w:ascii="Times New Roman" w:hAnsi="Times New Roman" w:cs="Times New Roman"/>
        </w:rPr>
        <w:tab/>
      </w:r>
      <w:r w:rsidRPr="0008210F">
        <w:rPr>
          <w:rStyle w:val="Rimandonotaapidipagina"/>
          <w:rFonts w:ascii="Times New Roman" w:hAnsi="Times New Roman" w:cs="Times New Roman"/>
        </w:rPr>
        <w:footnoteRef/>
      </w:r>
      <w:r w:rsidRPr="0008210F">
        <w:rPr>
          <w:rFonts w:ascii="Times New Roman" w:hAnsi="Times New Roman" w:cs="Times New Roman"/>
        </w:rPr>
        <w:t xml:space="preserve"> </w:t>
      </w:r>
      <w:r>
        <w:rPr>
          <w:rFonts w:ascii="Times New Roman" w:hAnsi="Times New Roman" w:cs="Times New Roman"/>
        </w:rPr>
        <w:t xml:space="preserve">Passando per la riduzione in schiavitù, come si evince chiaramente dalla lettura della sentenza di primo grado: in tema, Lenzerini, </w:t>
      </w:r>
      <w:r>
        <w:rPr>
          <w:rFonts w:ascii="Times New Roman" w:hAnsi="Times New Roman" w:cs="Times New Roman"/>
          <w:i/>
        </w:rPr>
        <w:t>La definizione internazionale di schiavitù secondo il Tribunale per la ex Jugoslavia: un caso di osmosi tra consuetudine e norme convenzionali</w:t>
      </w:r>
      <w:r>
        <w:rPr>
          <w:rFonts w:ascii="Times New Roman" w:hAnsi="Times New Roman" w:cs="Times New Roman"/>
        </w:rPr>
        <w:t xml:space="preserve">, in </w:t>
      </w:r>
      <w:r>
        <w:rPr>
          <w:rFonts w:ascii="Times New Roman" w:hAnsi="Times New Roman" w:cs="Times New Roman"/>
          <w:i/>
        </w:rPr>
        <w:t>Riv. dir. internaz.</w:t>
      </w:r>
      <w:r>
        <w:rPr>
          <w:rFonts w:ascii="Times New Roman" w:hAnsi="Times New Roman" w:cs="Times New Roman"/>
        </w:rPr>
        <w:t xml:space="preserve">, 2001, p. 1026 ss.. In tema pure Annoni, </w:t>
      </w:r>
      <w:r>
        <w:rPr>
          <w:rFonts w:ascii="Times New Roman" w:hAnsi="Times New Roman" w:cs="Times New Roman"/>
          <w:i/>
        </w:rPr>
        <w:t>L'attuazione dell'obbligo internazionale di reprimere la tratta di esseri umani</w:t>
      </w:r>
      <w:r>
        <w:rPr>
          <w:rFonts w:ascii="Times New Roman" w:hAnsi="Times New Roman" w:cs="Times New Roman"/>
        </w:rPr>
        <w:t xml:space="preserve">, in </w:t>
      </w:r>
      <w:r>
        <w:rPr>
          <w:rFonts w:ascii="Times New Roman" w:hAnsi="Times New Roman" w:cs="Times New Roman"/>
          <w:i/>
        </w:rPr>
        <w:t>Riv. dir. internaz.</w:t>
      </w:r>
      <w:r>
        <w:rPr>
          <w:rFonts w:ascii="Times New Roman" w:hAnsi="Times New Roman" w:cs="Times New Roman"/>
        </w:rPr>
        <w:t xml:space="preserve">, 2006, p. 405 ss., in partic. nota 49. </w:t>
      </w:r>
    </w:p>
  </w:footnote>
  <w:footnote w:id="17">
    <w:p w:rsidR="003F627C" w:rsidRPr="00111DAB" w:rsidRDefault="003F627C" w:rsidP="00111DAB">
      <w:pPr>
        <w:pStyle w:val="Testonotaapidipagina"/>
        <w:ind w:firstLine="708"/>
        <w:jc w:val="both"/>
        <w:rPr>
          <w:rFonts w:ascii="Times New Roman" w:hAnsi="Times New Roman" w:cs="Times New Roman"/>
        </w:rPr>
      </w:pPr>
      <w:r w:rsidRPr="00111DAB">
        <w:rPr>
          <w:rStyle w:val="Rimandonotaapidipagina"/>
          <w:rFonts w:ascii="Times New Roman" w:hAnsi="Times New Roman" w:cs="Times New Roman"/>
        </w:rPr>
        <w:footnoteRef/>
      </w:r>
      <w:r>
        <w:rPr>
          <w:rFonts w:ascii="Times New Roman" w:hAnsi="Times New Roman" w:cs="Times New Roman"/>
        </w:rPr>
        <w:t xml:space="preserve"> Caso n. IT-95-17/1-T (sentenza del Tribunale per la ex Jugoslavia del 10 dicembre 1998).</w:t>
      </w:r>
      <w:r w:rsidRPr="00111DAB">
        <w:rPr>
          <w:rFonts w:ascii="Times New Roman" w:hAnsi="Times New Roman" w:cs="Times New Roman"/>
        </w:rPr>
        <w:t xml:space="preserve"> </w:t>
      </w:r>
    </w:p>
  </w:footnote>
  <w:footnote w:id="18">
    <w:p w:rsidR="003F627C" w:rsidRPr="0092529E" w:rsidRDefault="003F627C" w:rsidP="0092529E">
      <w:pPr>
        <w:pStyle w:val="Testonotaapidipagina"/>
        <w:jc w:val="both"/>
        <w:rPr>
          <w:rFonts w:ascii="Times New Roman" w:hAnsi="Times New Roman" w:cs="Times New Roman"/>
        </w:rPr>
      </w:pPr>
      <w:r>
        <w:rPr>
          <w:rFonts w:ascii="Times New Roman" w:hAnsi="Times New Roman" w:cs="Times New Roman"/>
        </w:rPr>
        <w:tab/>
      </w:r>
      <w:r w:rsidRPr="0092529E">
        <w:rPr>
          <w:rStyle w:val="Rimandonotaapidipagina"/>
          <w:rFonts w:ascii="Times New Roman" w:hAnsi="Times New Roman" w:cs="Times New Roman"/>
        </w:rPr>
        <w:footnoteRef/>
      </w:r>
      <w:r w:rsidRPr="0092529E">
        <w:rPr>
          <w:rFonts w:ascii="Times New Roman" w:hAnsi="Times New Roman" w:cs="Times New Roman"/>
        </w:rPr>
        <w:t xml:space="preserve"> </w:t>
      </w:r>
      <w:r>
        <w:rPr>
          <w:rFonts w:ascii="Times New Roman" w:hAnsi="Times New Roman" w:cs="Times New Roman"/>
        </w:rPr>
        <w:t xml:space="preserve">Pur non volendosi qui dilungare sulla qualificazione del reato, è interessante l'approfondimento di chi, guardando alle sentenze di primo e secondo grado, lo riconduce alla </w:t>
      </w:r>
      <w:r>
        <w:rPr>
          <w:rFonts w:ascii="Times New Roman" w:hAnsi="Times New Roman" w:cs="Times New Roman"/>
          <w:i/>
        </w:rPr>
        <w:t>species</w:t>
      </w:r>
      <w:r>
        <w:rPr>
          <w:rFonts w:ascii="Times New Roman" w:hAnsi="Times New Roman" w:cs="Times New Roman"/>
        </w:rPr>
        <w:t xml:space="preserve"> della tortura: De Vittor, </w:t>
      </w:r>
      <w:r>
        <w:rPr>
          <w:rFonts w:ascii="Times New Roman" w:hAnsi="Times New Roman" w:cs="Times New Roman"/>
          <w:i/>
        </w:rPr>
        <w:t>La partecipazione del pubblico ufficiale quale elemento della definizione del crimine di tortura: in margine al caso "Kunarac"</w:t>
      </w:r>
      <w:r>
        <w:rPr>
          <w:rFonts w:ascii="Times New Roman" w:hAnsi="Times New Roman" w:cs="Times New Roman"/>
        </w:rPr>
        <w:t xml:space="preserve">, in </w:t>
      </w:r>
      <w:r>
        <w:rPr>
          <w:rFonts w:ascii="Times New Roman" w:hAnsi="Times New Roman" w:cs="Times New Roman"/>
          <w:i/>
        </w:rPr>
        <w:t>Riv. dir. internaz.</w:t>
      </w:r>
      <w:r>
        <w:rPr>
          <w:rFonts w:ascii="Times New Roman" w:hAnsi="Times New Roman" w:cs="Times New Roman"/>
        </w:rPr>
        <w:t>, 2004, p. 427 ss..</w:t>
      </w:r>
    </w:p>
  </w:footnote>
  <w:footnote w:id="19">
    <w:p w:rsidR="003F627C" w:rsidRPr="001860D1" w:rsidRDefault="003F627C" w:rsidP="001860D1">
      <w:pPr>
        <w:pStyle w:val="Testonotaapidipagina"/>
        <w:ind w:firstLine="708"/>
        <w:jc w:val="both"/>
        <w:rPr>
          <w:rFonts w:ascii="Times New Roman" w:hAnsi="Times New Roman" w:cs="Times New Roman"/>
          <w:lang w:val="en-US"/>
        </w:rPr>
      </w:pPr>
      <w:r w:rsidRPr="001860D1">
        <w:rPr>
          <w:rStyle w:val="Rimandonotaapidipagina"/>
          <w:rFonts w:ascii="Times New Roman" w:hAnsi="Times New Roman" w:cs="Times New Roman"/>
        </w:rPr>
        <w:footnoteRef/>
      </w:r>
      <w:r w:rsidRPr="001860D1">
        <w:rPr>
          <w:rFonts w:ascii="Times New Roman" w:hAnsi="Times New Roman" w:cs="Times New Roman"/>
        </w:rPr>
        <w:t xml:space="preserve"> </w:t>
      </w:r>
      <w:r>
        <w:rPr>
          <w:rFonts w:ascii="Times New Roman" w:hAnsi="Times New Roman" w:cs="Times New Roman"/>
        </w:rPr>
        <w:t xml:space="preserve">In questa direzione, anche Kalosieh, </w:t>
      </w:r>
      <w:r>
        <w:rPr>
          <w:rFonts w:ascii="Times New Roman" w:hAnsi="Times New Roman" w:cs="Times New Roman"/>
          <w:i/>
        </w:rPr>
        <w:t xml:space="preserve">Consent to Genocide? </w:t>
      </w:r>
      <w:r w:rsidRPr="001860D1">
        <w:rPr>
          <w:rFonts w:ascii="Times New Roman" w:hAnsi="Times New Roman" w:cs="Times New Roman"/>
          <w:i/>
          <w:lang w:val="en-US"/>
        </w:rPr>
        <w:t>The ICTY’s Improper Use of t</w:t>
      </w:r>
      <w:r>
        <w:rPr>
          <w:rFonts w:ascii="Times New Roman" w:hAnsi="Times New Roman" w:cs="Times New Roman"/>
          <w:i/>
          <w:lang w:val="en-US"/>
        </w:rPr>
        <w:t>he Consent Paradigm to Prosecute Genocidial Rape in Foča</w:t>
      </w:r>
      <w:r>
        <w:rPr>
          <w:rFonts w:ascii="Times New Roman" w:hAnsi="Times New Roman" w:cs="Times New Roman"/>
          <w:lang w:val="en-US"/>
        </w:rPr>
        <w:t xml:space="preserve">, in </w:t>
      </w:r>
      <w:r>
        <w:rPr>
          <w:rFonts w:ascii="Times New Roman" w:hAnsi="Times New Roman" w:cs="Times New Roman"/>
          <w:i/>
          <w:lang w:val="en-US"/>
        </w:rPr>
        <w:t>Women’s Rights Law Reporter</w:t>
      </w:r>
      <w:r>
        <w:rPr>
          <w:rFonts w:ascii="Times New Roman" w:hAnsi="Times New Roman" w:cs="Times New Roman"/>
          <w:lang w:val="en-US"/>
        </w:rPr>
        <w:t>, 2003, p. 121 ss.</w:t>
      </w:r>
    </w:p>
  </w:footnote>
  <w:footnote w:id="20">
    <w:p w:rsidR="003F627C" w:rsidRPr="0092529E" w:rsidRDefault="003F627C" w:rsidP="0092529E">
      <w:pPr>
        <w:pStyle w:val="Testonotaapidipagina"/>
        <w:jc w:val="both"/>
        <w:rPr>
          <w:rFonts w:ascii="Times New Roman" w:hAnsi="Times New Roman" w:cs="Times New Roman"/>
        </w:rPr>
      </w:pPr>
      <w:r w:rsidRPr="002C0AD5">
        <w:rPr>
          <w:rFonts w:ascii="Times New Roman" w:hAnsi="Times New Roman" w:cs="Times New Roman"/>
          <w:lang w:val="en-US"/>
        </w:rPr>
        <w:tab/>
      </w:r>
      <w:r w:rsidRPr="0092529E">
        <w:rPr>
          <w:rStyle w:val="Rimandonotaapidipagina"/>
          <w:rFonts w:ascii="Times New Roman" w:hAnsi="Times New Roman" w:cs="Times New Roman"/>
        </w:rPr>
        <w:footnoteRef/>
      </w:r>
      <w:r w:rsidRPr="0092529E">
        <w:rPr>
          <w:rFonts w:ascii="Times New Roman" w:hAnsi="Times New Roman" w:cs="Times New Roman"/>
        </w:rPr>
        <w:t xml:space="preserve"> </w:t>
      </w:r>
      <w:r>
        <w:rPr>
          <w:rFonts w:ascii="Times New Roman" w:hAnsi="Times New Roman" w:cs="Times New Roman"/>
        </w:rPr>
        <w:t>E non necessariamente "forza fisica", bastando, ad esempio, la capillare presenza di miliziani serbi sul territorio o anche altri comportamenti idonei a generare squilibrio tra vittima e offensore, pure diversi dalle classiche violenza e minaccia: sul punto, Dara, Gross violations</w:t>
      </w:r>
      <w:r>
        <w:rPr>
          <w:rFonts w:ascii="Times New Roman" w:hAnsi="Times New Roman" w:cs="Times New Roman"/>
          <w:i/>
        </w:rPr>
        <w:t xml:space="preserve"> dei diritti delle donne in Messico</w:t>
      </w:r>
      <w:r>
        <w:rPr>
          <w:rFonts w:ascii="Times New Roman" w:hAnsi="Times New Roman" w:cs="Times New Roman"/>
        </w:rPr>
        <w:t>, Firenze University Press, 2014, p. 84.</w:t>
      </w:r>
    </w:p>
  </w:footnote>
  <w:footnote w:id="21">
    <w:p w:rsidR="003F627C" w:rsidRPr="00A46516" w:rsidRDefault="003F627C" w:rsidP="00A46516">
      <w:pPr>
        <w:pStyle w:val="Testonotaapidipagina"/>
        <w:jc w:val="both"/>
        <w:rPr>
          <w:rFonts w:ascii="Times New Roman" w:hAnsi="Times New Roman" w:cs="Times New Roman"/>
        </w:rPr>
      </w:pPr>
      <w:r>
        <w:rPr>
          <w:rFonts w:ascii="Times New Roman" w:hAnsi="Times New Roman" w:cs="Times New Roman"/>
        </w:rPr>
        <w:tab/>
      </w:r>
      <w:r w:rsidRPr="00A46516">
        <w:rPr>
          <w:rStyle w:val="Rimandonotaapidipagina"/>
          <w:rFonts w:ascii="Times New Roman" w:hAnsi="Times New Roman" w:cs="Times New Roman"/>
        </w:rPr>
        <w:footnoteRef/>
      </w:r>
      <w:r w:rsidRPr="00A46516">
        <w:rPr>
          <w:rFonts w:ascii="Times New Roman" w:hAnsi="Times New Roman" w:cs="Times New Roman"/>
        </w:rPr>
        <w:t xml:space="preserve"> </w:t>
      </w:r>
      <w:r>
        <w:rPr>
          <w:rFonts w:ascii="Times New Roman" w:hAnsi="Times New Roman" w:cs="Times New Roman"/>
        </w:rPr>
        <w:t>Ci si riferisce, seguendo la numerazione delle pagine del verbale, alle pp. 324 e 325.</w:t>
      </w:r>
    </w:p>
  </w:footnote>
  <w:footnote w:id="22">
    <w:p w:rsidR="003F627C" w:rsidRPr="005D52A7" w:rsidRDefault="003F627C" w:rsidP="005D52A7">
      <w:pPr>
        <w:pStyle w:val="Testonotaapidipagina"/>
        <w:jc w:val="both"/>
        <w:rPr>
          <w:rFonts w:ascii="Times New Roman" w:hAnsi="Times New Roman" w:cs="Times New Roman"/>
        </w:rPr>
      </w:pPr>
      <w:r>
        <w:rPr>
          <w:rFonts w:ascii="Times New Roman" w:hAnsi="Times New Roman" w:cs="Times New Roman"/>
        </w:rPr>
        <w:tab/>
      </w:r>
      <w:r w:rsidRPr="005D52A7">
        <w:rPr>
          <w:rStyle w:val="Rimandonotaapidipagina"/>
          <w:rFonts w:ascii="Times New Roman" w:hAnsi="Times New Roman" w:cs="Times New Roman"/>
        </w:rPr>
        <w:footnoteRef/>
      </w:r>
      <w:r w:rsidRPr="005D52A7">
        <w:rPr>
          <w:rFonts w:ascii="Times New Roman" w:hAnsi="Times New Roman" w:cs="Times New Roman"/>
        </w:rPr>
        <w:t xml:space="preserve"> </w:t>
      </w:r>
      <w:r>
        <w:rPr>
          <w:rFonts w:ascii="Times New Roman" w:hAnsi="Times New Roman" w:cs="Times New Roman"/>
        </w:rPr>
        <w:t>Guardando alle pagine del verbale, pp. 331-332.</w:t>
      </w:r>
    </w:p>
  </w:footnote>
  <w:footnote w:id="23">
    <w:p w:rsidR="003F627C" w:rsidRPr="00F56CBE" w:rsidRDefault="003F627C" w:rsidP="00F56CBE">
      <w:pPr>
        <w:pStyle w:val="Testonotaapidipagina"/>
        <w:jc w:val="both"/>
        <w:rPr>
          <w:rFonts w:ascii="Times New Roman" w:hAnsi="Times New Roman" w:cs="Times New Roman"/>
        </w:rPr>
      </w:pPr>
      <w:r>
        <w:rPr>
          <w:rFonts w:ascii="Times New Roman" w:hAnsi="Times New Roman" w:cs="Times New Roman"/>
        </w:rPr>
        <w:tab/>
      </w:r>
      <w:r w:rsidRPr="00F56CBE">
        <w:rPr>
          <w:rStyle w:val="Rimandonotaapidipagina"/>
          <w:rFonts w:ascii="Times New Roman" w:hAnsi="Times New Roman" w:cs="Times New Roman"/>
        </w:rPr>
        <w:footnoteRef/>
      </w:r>
      <w:r w:rsidRPr="00F56CBE">
        <w:rPr>
          <w:rFonts w:ascii="Times New Roman" w:hAnsi="Times New Roman" w:cs="Times New Roman"/>
        </w:rPr>
        <w:t xml:space="preserve"> </w:t>
      </w:r>
      <w:r>
        <w:rPr>
          <w:rFonts w:ascii="Times New Roman" w:hAnsi="Times New Roman" w:cs="Times New Roman"/>
        </w:rPr>
        <w:t>Sempre seguendo la numerazione del verbale, pp. 1230 ss..</w:t>
      </w:r>
    </w:p>
  </w:footnote>
  <w:footnote w:id="24">
    <w:p w:rsidR="003F627C" w:rsidRPr="002C0AD5" w:rsidRDefault="003F627C" w:rsidP="0003046E">
      <w:pPr>
        <w:pStyle w:val="Testonotaapidipagina"/>
        <w:jc w:val="both"/>
        <w:rPr>
          <w:rFonts w:ascii="Times New Roman" w:hAnsi="Times New Roman" w:cs="Times New Roman"/>
          <w:lang w:val="en-US"/>
        </w:rPr>
      </w:pPr>
      <w:r>
        <w:rPr>
          <w:rFonts w:ascii="Times New Roman" w:hAnsi="Times New Roman" w:cs="Times New Roman"/>
        </w:rPr>
        <w:tab/>
      </w:r>
      <w:r w:rsidRPr="0003046E">
        <w:rPr>
          <w:rStyle w:val="Rimandonotaapidipagina"/>
          <w:rFonts w:ascii="Times New Roman" w:hAnsi="Times New Roman" w:cs="Times New Roman"/>
        </w:rPr>
        <w:footnoteRef/>
      </w:r>
      <w:r w:rsidRPr="002C0AD5">
        <w:rPr>
          <w:rFonts w:ascii="Times New Roman" w:hAnsi="Times New Roman" w:cs="Times New Roman"/>
          <w:lang w:val="en-US"/>
        </w:rPr>
        <w:t xml:space="preserve"> Queste le parole della teste: «</w:t>
      </w:r>
      <w:r w:rsidRPr="002C0AD5">
        <w:rPr>
          <w:rFonts w:ascii="Times New Roman" w:hAnsi="Times New Roman" w:cs="Times New Roman"/>
          <w:i/>
          <w:lang w:val="en-US"/>
        </w:rPr>
        <w:t>I wanted everyone to hear about it</w:t>
      </w:r>
      <w:r w:rsidRPr="002C0AD5">
        <w:rPr>
          <w:rFonts w:ascii="Times New Roman" w:hAnsi="Times New Roman" w:cs="Times New Roman"/>
          <w:lang w:val="en-US"/>
        </w:rPr>
        <w:t>» (p. 1247).</w:t>
      </w:r>
    </w:p>
  </w:footnote>
  <w:footnote w:id="25">
    <w:p w:rsidR="003F627C" w:rsidRPr="00604F9D" w:rsidRDefault="003F627C" w:rsidP="00604F9D">
      <w:pPr>
        <w:pStyle w:val="Testonotaapidipagina"/>
        <w:jc w:val="both"/>
        <w:rPr>
          <w:rFonts w:ascii="Times New Roman" w:hAnsi="Times New Roman" w:cs="Times New Roman"/>
        </w:rPr>
      </w:pPr>
      <w:r w:rsidRPr="002C0AD5">
        <w:rPr>
          <w:rFonts w:ascii="Times New Roman" w:hAnsi="Times New Roman" w:cs="Times New Roman"/>
          <w:lang w:val="en-US"/>
        </w:rPr>
        <w:tab/>
      </w:r>
      <w:r w:rsidRPr="00604F9D">
        <w:rPr>
          <w:rStyle w:val="Rimandonotaapidipagina"/>
          <w:rFonts w:ascii="Times New Roman" w:hAnsi="Times New Roman" w:cs="Times New Roman"/>
        </w:rPr>
        <w:footnoteRef/>
      </w:r>
      <w:r w:rsidRPr="00604F9D">
        <w:rPr>
          <w:rFonts w:ascii="Times New Roman" w:hAnsi="Times New Roman" w:cs="Times New Roman"/>
        </w:rPr>
        <w:t xml:space="preserve"> </w:t>
      </w:r>
      <w:r>
        <w:rPr>
          <w:rFonts w:ascii="Times New Roman" w:hAnsi="Times New Roman" w:cs="Times New Roman"/>
        </w:rPr>
        <w:t>Si tratta del caso n. ICTR-98-42-T. La sentenza di primo grado è del 24 giugno 2011 e quella di appello è del 14 dicembre 2015.</w:t>
      </w:r>
    </w:p>
  </w:footnote>
  <w:footnote w:id="26">
    <w:p w:rsidR="003F627C" w:rsidRPr="002C0AD5" w:rsidRDefault="003F627C" w:rsidP="00E34F61">
      <w:pPr>
        <w:pStyle w:val="Testonotaapidipagina"/>
        <w:jc w:val="both"/>
        <w:rPr>
          <w:rFonts w:ascii="Times New Roman" w:hAnsi="Times New Roman" w:cs="Times New Roman"/>
          <w:lang w:val="en-US"/>
        </w:rPr>
      </w:pPr>
      <w:r>
        <w:rPr>
          <w:rFonts w:ascii="Times New Roman" w:hAnsi="Times New Roman" w:cs="Times New Roman"/>
        </w:rPr>
        <w:tab/>
      </w:r>
      <w:r w:rsidRPr="00E34F61">
        <w:rPr>
          <w:rStyle w:val="Rimandonotaapidipagina"/>
          <w:rFonts w:ascii="Times New Roman" w:hAnsi="Times New Roman" w:cs="Times New Roman"/>
        </w:rPr>
        <w:footnoteRef/>
      </w:r>
      <w:r w:rsidRPr="002C0AD5">
        <w:rPr>
          <w:rFonts w:ascii="Times New Roman" w:hAnsi="Times New Roman" w:cs="Times New Roman"/>
          <w:lang w:val="en-US"/>
        </w:rPr>
        <w:t xml:space="preserve"> </w:t>
      </w:r>
      <w:r w:rsidRPr="002C0AD5">
        <w:rPr>
          <w:rFonts w:ascii="Times New Roman" w:hAnsi="Times New Roman" w:cs="Times New Roman"/>
          <w:i/>
          <w:lang w:val="en-US"/>
        </w:rPr>
        <w:t>Amplius</w:t>
      </w:r>
      <w:r w:rsidRPr="002C0AD5">
        <w:rPr>
          <w:rFonts w:ascii="Times New Roman" w:hAnsi="Times New Roman" w:cs="Times New Roman"/>
          <w:lang w:val="en-US"/>
        </w:rPr>
        <w:t xml:space="preserve">, Bartrop, </w:t>
      </w:r>
      <w:r w:rsidRPr="002C0AD5">
        <w:rPr>
          <w:rFonts w:ascii="Times New Roman" w:hAnsi="Times New Roman" w:cs="Times New Roman"/>
          <w:i/>
          <w:lang w:val="en-US"/>
        </w:rPr>
        <w:t>A Biographical Encyclopedia of Contemporary Genocide: Portraits of Evil and Good</w:t>
      </w:r>
      <w:r w:rsidRPr="002C0AD5">
        <w:rPr>
          <w:rFonts w:ascii="Times New Roman" w:hAnsi="Times New Roman" w:cs="Times New Roman"/>
          <w:lang w:val="en-US"/>
        </w:rPr>
        <w:t xml:space="preserve">, ABC Clio, 2012, p. 243 o Bartrop, Jacobs, </w:t>
      </w:r>
      <w:r w:rsidRPr="002C0AD5">
        <w:rPr>
          <w:rFonts w:ascii="Times New Roman" w:hAnsi="Times New Roman" w:cs="Times New Roman"/>
          <w:i/>
          <w:lang w:val="en-US"/>
        </w:rPr>
        <w:t>Modern Genocide: The Definitive Resource and Document Collection</w:t>
      </w:r>
      <w:r w:rsidRPr="002C0AD5">
        <w:rPr>
          <w:rFonts w:ascii="Times New Roman" w:hAnsi="Times New Roman" w:cs="Times New Roman"/>
          <w:lang w:val="en-US"/>
        </w:rPr>
        <w:t>, ABC Clio, 2015, p. 1780.</w:t>
      </w:r>
    </w:p>
  </w:footnote>
  <w:footnote w:id="27">
    <w:p w:rsidR="003F627C" w:rsidRPr="002C0AD5" w:rsidRDefault="003F627C" w:rsidP="00604F9D">
      <w:pPr>
        <w:pStyle w:val="Testonotaapidipagina"/>
        <w:jc w:val="both"/>
        <w:rPr>
          <w:rFonts w:ascii="Times New Roman" w:hAnsi="Times New Roman" w:cs="Times New Roman"/>
          <w:lang w:val="en-US"/>
        </w:rPr>
      </w:pPr>
      <w:r w:rsidRPr="002C0AD5">
        <w:rPr>
          <w:rFonts w:ascii="Times New Roman" w:hAnsi="Times New Roman" w:cs="Times New Roman"/>
          <w:lang w:val="en-US"/>
        </w:rPr>
        <w:tab/>
      </w:r>
      <w:r w:rsidRPr="00604F9D">
        <w:rPr>
          <w:rStyle w:val="Rimandonotaapidipagina"/>
          <w:rFonts w:ascii="Times New Roman" w:hAnsi="Times New Roman" w:cs="Times New Roman"/>
        </w:rPr>
        <w:footnoteRef/>
      </w:r>
      <w:r w:rsidRPr="002C0AD5">
        <w:rPr>
          <w:rFonts w:ascii="Times New Roman" w:hAnsi="Times New Roman" w:cs="Times New Roman"/>
          <w:lang w:val="en-US"/>
        </w:rPr>
        <w:t xml:space="preserve"> Sperling, </w:t>
      </w:r>
      <w:r w:rsidRPr="002C0AD5">
        <w:rPr>
          <w:rFonts w:ascii="Times New Roman" w:hAnsi="Times New Roman" w:cs="Times New Roman"/>
          <w:i/>
          <w:lang w:val="en-US"/>
        </w:rPr>
        <w:t>Mother of atrocities: Pauline Nyiramasuhuko's role in the Rwandan genocide</w:t>
      </w:r>
      <w:r w:rsidRPr="002C0AD5">
        <w:rPr>
          <w:rFonts w:ascii="Times New Roman" w:hAnsi="Times New Roman" w:cs="Times New Roman"/>
          <w:lang w:val="en-US"/>
        </w:rPr>
        <w:t xml:space="preserve">, in </w:t>
      </w:r>
      <w:r w:rsidRPr="002C0AD5">
        <w:rPr>
          <w:rFonts w:ascii="Times New Roman" w:hAnsi="Times New Roman" w:cs="Times New Roman"/>
          <w:i/>
          <w:lang w:val="en-US"/>
        </w:rPr>
        <w:t>Fordham Urban Law Journal</w:t>
      </w:r>
      <w:r w:rsidRPr="002C0AD5">
        <w:rPr>
          <w:rFonts w:ascii="Times New Roman" w:hAnsi="Times New Roman" w:cs="Times New Roman"/>
          <w:lang w:val="en-US"/>
        </w:rPr>
        <w:t>, gennaio 2006.</w:t>
      </w:r>
    </w:p>
  </w:footnote>
  <w:footnote w:id="28">
    <w:p w:rsidR="003F627C" w:rsidRPr="00604F9D" w:rsidRDefault="003F627C" w:rsidP="00604F9D">
      <w:pPr>
        <w:pStyle w:val="Testonotaapidipagina"/>
        <w:jc w:val="both"/>
        <w:rPr>
          <w:rFonts w:ascii="Times New Roman" w:hAnsi="Times New Roman" w:cs="Times New Roman"/>
        </w:rPr>
      </w:pPr>
      <w:r w:rsidRPr="002C0AD5">
        <w:rPr>
          <w:rFonts w:ascii="Times New Roman" w:hAnsi="Times New Roman" w:cs="Times New Roman"/>
          <w:lang w:val="en-US"/>
        </w:rPr>
        <w:tab/>
      </w:r>
      <w:r w:rsidRPr="00604F9D">
        <w:rPr>
          <w:rStyle w:val="Rimandonotaapidipagina"/>
          <w:rFonts w:ascii="Times New Roman" w:hAnsi="Times New Roman" w:cs="Times New Roman"/>
        </w:rPr>
        <w:footnoteRef/>
      </w:r>
      <w:r w:rsidRPr="00604F9D">
        <w:rPr>
          <w:rFonts w:ascii="Times New Roman" w:hAnsi="Times New Roman" w:cs="Times New Roman"/>
        </w:rPr>
        <w:t xml:space="preserve"> </w:t>
      </w:r>
      <w:r>
        <w:rPr>
          <w:rFonts w:ascii="Times New Roman" w:hAnsi="Times New Roman" w:cs="Times New Roman"/>
        </w:rPr>
        <w:t xml:space="preserve">Il riferimento va al </w:t>
      </w:r>
      <w:r>
        <w:rPr>
          <w:rFonts w:ascii="Times New Roman" w:hAnsi="Times New Roman" w:cs="Times New Roman"/>
          <w:i/>
        </w:rPr>
        <w:t>Judgment and Sentence</w:t>
      </w:r>
      <w:r>
        <w:rPr>
          <w:rFonts w:ascii="Times New Roman" w:hAnsi="Times New Roman" w:cs="Times New Roman"/>
        </w:rPr>
        <w:t>, pubblicato sul sito dell'ICTR, pp. 35-36.</w:t>
      </w:r>
    </w:p>
  </w:footnote>
  <w:footnote w:id="29">
    <w:p w:rsidR="003F627C" w:rsidRPr="001A3C21" w:rsidRDefault="003F627C" w:rsidP="001A3C21">
      <w:pPr>
        <w:pStyle w:val="Testonotaapidipagina"/>
        <w:jc w:val="both"/>
        <w:rPr>
          <w:rFonts w:ascii="Times New Roman" w:hAnsi="Times New Roman" w:cs="Times New Roman"/>
        </w:rPr>
      </w:pPr>
      <w:r>
        <w:rPr>
          <w:rFonts w:ascii="Times New Roman" w:hAnsi="Times New Roman" w:cs="Times New Roman"/>
        </w:rPr>
        <w:tab/>
      </w:r>
      <w:r w:rsidRPr="001A3C21">
        <w:rPr>
          <w:rStyle w:val="Rimandonotaapidipagina"/>
          <w:rFonts w:ascii="Times New Roman" w:hAnsi="Times New Roman" w:cs="Times New Roman"/>
        </w:rPr>
        <w:footnoteRef/>
      </w:r>
      <w:r w:rsidRPr="001A3C21">
        <w:rPr>
          <w:rFonts w:ascii="Times New Roman" w:hAnsi="Times New Roman" w:cs="Times New Roman"/>
        </w:rPr>
        <w:t xml:space="preserve"> </w:t>
      </w:r>
      <w:r>
        <w:rPr>
          <w:rFonts w:ascii="Times New Roman" w:hAnsi="Times New Roman" w:cs="Times New Roman"/>
        </w:rPr>
        <w:t xml:space="preserve">Qui il Tribunale richiama la propria giurisprudenza, nel caso </w:t>
      </w:r>
      <w:r w:rsidRPr="001A3C21">
        <w:rPr>
          <w:rFonts w:ascii="Times New Roman" w:hAnsi="Times New Roman" w:cs="Times New Roman"/>
          <w:i/>
        </w:rPr>
        <w:t>Niyitegeka</w:t>
      </w:r>
      <w:r>
        <w:rPr>
          <w:rFonts w:ascii="Times New Roman" w:hAnsi="Times New Roman" w:cs="Times New Roman"/>
        </w:rPr>
        <w:t xml:space="preserve"> (ICTR-96-14, sentenza di primo grado del 16 maggio 2003 e di appello del 9 luglio 2004. Di quest'ultima si rinvia ai §§100-101).</w:t>
      </w:r>
    </w:p>
  </w:footnote>
  <w:footnote w:id="30">
    <w:p w:rsidR="003F627C" w:rsidRPr="001A3C21" w:rsidRDefault="003F627C" w:rsidP="001A3C21">
      <w:pPr>
        <w:pStyle w:val="Testonotaapidipagina"/>
        <w:jc w:val="both"/>
        <w:rPr>
          <w:rFonts w:ascii="Times New Roman" w:hAnsi="Times New Roman" w:cs="Times New Roman"/>
        </w:rPr>
      </w:pPr>
      <w:r>
        <w:rPr>
          <w:rFonts w:ascii="Times New Roman" w:hAnsi="Times New Roman" w:cs="Times New Roman"/>
        </w:rPr>
        <w:tab/>
      </w:r>
      <w:r w:rsidRPr="001A3C21">
        <w:rPr>
          <w:rStyle w:val="Rimandonotaapidipagina"/>
          <w:rFonts w:ascii="Times New Roman" w:hAnsi="Times New Roman" w:cs="Times New Roman"/>
        </w:rPr>
        <w:footnoteRef/>
      </w:r>
      <w:r w:rsidRPr="001A3C21">
        <w:rPr>
          <w:rFonts w:ascii="Times New Roman" w:hAnsi="Times New Roman" w:cs="Times New Roman"/>
        </w:rPr>
        <w:t xml:space="preserve"> </w:t>
      </w:r>
      <w:r>
        <w:rPr>
          <w:rFonts w:ascii="Times New Roman" w:hAnsi="Times New Roman" w:cs="Times New Roman"/>
        </w:rPr>
        <w:t xml:space="preserve">Il richiamo va alla giurisprudenza del Tribunale per la ex Jugoslavia nel caso </w:t>
      </w:r>
      <w:r w:rsidRPr="001A3C21">
        <w:rPr>
          <w:rFonts w:ascii="Times New Roman" w:hAnsi="Times New Roman" w:cs="Times New Roman"/>
          <w:i/>
        </w:rPr>
        <w:t>Kupreškić</w:t>
      </w:r>
      <w:r>
        <w:rPr>
          <w:rFonts w:ascii="Times New Roman" w:hAnsi="Times New Roman" w:cs="Times New Roman"/>
          <w:i/>
        </w:rPr>
        <w:t xml:space="preserve"> e altri</w:t>
      </w:r>
      <w:r>
        <w:rPr>
          <w:rFonts w:ascii="Times New Roman" w:hAnsi="Times New Roman" w:cs="Times New Roman"/>
        </w:rPr>
        <w:t>, n. IT-95-16-T.</w:t>
      </w:r>
    </w:p>
  </w:footnote>
  <w:footnote w:id="31">
    <w:p w:rsidR="003F627C" w:rsidRPr="001A3C21" w:rsidRDefault="003F627C" w:rsidP="001A3C21">
      <w:pPr>
        <w:pStyle w:val="Testonotaapidipagina"/>
        <w:jc w:val="both"/>
        <w:rPr>
          <w:rFonts w:ascii="Times New Roman" w:hAnsi="Times New Roman" w:cs="Times New Roman"/>
        </w:rPr>
      </w:pPr>
      <w:r>
        <w:rPr>
          <w:rFonts w:ascii="Times New Roman" w:hAnsi="Times New Roman" w:cs="Times New Roman"/>
        </w:rPr>
        <w:tab/>
      </w:r>
      <w:r w:rsidRPr="001A3C21">
        <w:rPr>
          <w:rStyle w:val="Rimandonotaapidipagina"/>
          <w:rFonts w:ascii="Times New Roman" w:hAnsi="Times New Roman" w:cs="Times New Roman"/>
        </w:rPr>
        <w:footnoteRef/>
      </w:r>
      <w:r w:rsidRPr="001A3C21">
        <w:rPr>
          <w:rFonts w:ascii="Times New Roman" w:hAnsi="Times New Roman" w:cs="Times New Roman"/>
        </w:rPr>
        <w:t xml:space="preserve"> </w:t>
      </w:r>
      <w:r>
        <w:rPr>
          <w:rFonts w:ascii="Times New Roman" w:hAnsi="Times New Roman" w:cs="Times New Roman"/>
        </w:rPr>
        <w:t xml:space="preserve">Tale regola viene stabilita al §173 del </w:t>
      </w:r>
      <w:r>
        <w:rPr>
          <w:rFonts w:ascii="Times New Roman" w:hAnsi="Times New Roman" w:cs="Times New Roman"/>
          <w:i/>
        </w:rPr>
        <w:t xml:space="preserve">Judgment and Sentence </w:t>
      </w:r>
      <w:r>
        <w:rPr>
          <w:rFonts w:ascii="Times New Roman" w:hAnsi="Times New Roman" w:cs="Times New Roman"/>
        </w:rPr>
        <w:t xml:space="preserve">nel caso </w:t>
      </w:r>
      <w:r>
        <w:rPr>
          <w:rFonts w:ascii="Times New Roman" w:hAnsi="Times New Roman" w:cs="Times New Roman"/>
          <w:i/>
        </w:rPr>
        <w:t>Nyiramasuhuko</w:t>
      </w:r>
      <w:r>
        <w:rPr>
          <w:rFonts w:ascii="Times New Roman" w:hAnsi="Times New Roman" w:cs="Times New Roman"/>
        </w:rPr>
        <w:t xml:space="preserve">: il Tribunale rinvia a questo punto a </w:t>
      </w:r>
      <w:r>
        <w:rPr>
          <w:rFonts w:ascii="Times New Roman" w:hAnsi="Times New Roman" w:cs="Times New Roman"/>
          <w:i/>
        </w:rPr>
        <w:t>Kunarac</w:t>
      </w:r>
      <w:r>
        <w:rPr>
          <w:rFonts w:ascii="Times New Roman" w:hAnsi="Times New Roman" w:cs="Times New Roman"/>
        </w:rPr>
        <w:t xml:space="preserve"> (nota 320). </w:t>
      </w:r>
    </w:p>
  </w:footnote>
  <w:footnote w:id="32">
    <w:p w:rsidR="003F627C" w:rsidRPr="007E26F2" w:rsidRDefault="003F627C" w:rsidP="007E26F2">
      <w:pPr>
        <w:pStyle w:val="Testonotaapidipagina"/>
        <w:jc w:val="both"/>
        <w:rPr>
          <w:rFonts w:ascii="Times New Roman" w:hAnsi="Times New Roman" w:cs="Times New Roman"/>
        </w:rPr>
      </w:pPr>
      <w:r>
        <w:rPr>
          <w:rFonts w:ascii="Times New Roman" w:hAnsi="Times New Roman" w:cs="Times New Roman"/>
        </w:rPr>
        <w:tab/>
      </w:r>
      <w:r w:rsidRPr="007E26F2">
        <w:rPr>
          <w:rStyle w:val="Rimandonotaapidipagina"/>
          <w:rFonts w:ascii="Times New Roman" w:hAnsi="Times New Roman" w:cs="Times New Roman"/>
        </w:rPr>
        <w:footnoteRef/>
      </w:r>
      <w:r w:rsidRPr="007E26F2">
        <w:rPr>
          <w:rFonts w:ascii="Times New Roman" w:hAnsi="Times New Roman" w:cs="Times New Roman"/>
        </w:rPr>
        <w:t xml:space="preserve"> </w:t>
      </w:r>
      <w:r>
        <w:rPr>
          <w:rFonts w:ascii="Times New Roman" w:hAnsi="Times New Roman" w:cs="Times New Roman"/>
        </w:rPr>
        <w:t xml:space="preserve">La libertà nella valutazione della prova dichiarativa è già stata espressa a più riprese dal Tribunale per il Ruanda nei casi </w:t>
      </w:r>
      <w:r>
        <w:rPr>
          <w:rFonts w:ascii="Times New Roman" w:hAnsi="Times New Roman" w:cs="Times New Roman"/>
          <w:i/>
        </w:rPr>
        <w:t>Kayishema e Ruzindana</w:t>
      </w:r>
      <w:r>
        <w:rPr>
          <w:rFonts w:ascii="Times New Roman" w:hAnsi="Times New Roman" w:cs="Times New Roman"/>
        </w:rPr>
        <w:t xml:space="preserve"> (ICTR-95-1), </w:t>
      </w:r>
      <w:r>
        <w:rPr>
          <w:rFonts w:ascii="Times New Roman" w:hAnsi="Times New Roman" w:cs="Times New Roman"/>
          <w:i/>
        </w:rPr>
        <w:t>Musema</w:t>
      </w:r>
      <w:r>
        <w:rPr>
          <w:rFonts w:ascii="Times New Roman" w:hAnsi="Times New Roman" w:cs="Times New Roman"/>
        </w:rPr>
        <w:t xml:space="preserve"> (ICTR-96-13) e </w:t>
      </w:r>
      <w:r>
        <w:rPr>
          <w:rFonts w:ascii="Times New Roman" w:hAnsi="Times New Roman" w:cs="Times New Roman"/>
          <w:i/>
        </w:rPr>
        <w:t>Rutaganda</w:t>
      </w:r>
      <w:r>
        <w:rPr>
          <w:rFonts w:ascii="Times New Roman" w:hAnsi="Times New Roman" w:cs="Times New Roman"/>
        </w:rPr>
        <w:t xml:space="preserve"> (ICTR-96-3). </w:t>
      </w:r>
    </w:p>
  </w:footnote>
  <w:footnote w:id="33">
    <w:p w:rsidR="003F627C" w:rsidRPr="00A0394B" w:rsidRDefault="003F627C" w:rsidP="00A0394B">
      <w:pPr>
        <w:pStyle w:val="Testonotaapidipagina"/>
        <w:jc w:val="both"/>
        <w:rPr>
          <w:rFonts w:ascii="Times New Roman" w:hAnsi="Times New Roman" w:cs="Times New Roman"/>
        </w:rPr>
      </w:pPr>
      <w:r>
        <w:rPr>
          <w:rFonts w:ascii="Times New Roman" w:hAnsi="Times New Roman" w:cs="Times New Roman"/>
        </w:rPr>
        <w:tab/>
      </w:r>
      <w:r w:rsidRPr="00A0394B">
        <w:rPr>
          <w:rStyle w:val="Rimandonotaapidipagina"/>
          <w:rFonts w:ascii="Times New Roman" w:hAnsi="Times New Roman" w:cs="Times New Roman"/>
        </w:rPr>
        <w:footnoteRef/>
      </w:r>
      <w:r w:rsidRPr="00A0394B">
        <w:rPr>
          <w:rFonts w:ascii="Times New Roman" w:hAnsi="Times New Roman" w:cs="Times New Roman"/>
        </w:rPr>
        <w:t xml:space="preserve"> </w:t>
      </w:r>
      <w:r>
        <w:rPr>
          <w:rFonts w:ascii="Times New Roman" w:hAnsi="Times New Roman" w:cs="Times New Roman"/>
        </w:rPr>
        <w:t xml:space="preserve">Altro punto, questo, in cui il Tribunale richiama proprio il caso </w:t>
      </w:r>
      <w:r>
        <w:rPr>
          <w:rFonts w:ascii="Times New Roman" w:hAnsi="Times New Roman" w:cs="Times New Roman"/>
          <w:i/>
        </w:rPr>
        <w:t>Kunarac</w:t>
      </w:r>
      <w:r>
        <w:rPr>
          <w:rFonts w:ascii="Times New Roman" w:hAnsi="Times New Roman" w:cs="Times New Roman"/>
        </w:rPr>
        <w:t xml:space="preserve"> (v. §178, nota 330).</w:t>
      </w:r>
    </w:p>
  </w:footnote>
  <w:footnote w:id="34">
    <w:p w:rsidR="003F627C" w:rsidRPr="00A0394B" w:rsidRDefault="003F627C" w:rsidP="00A0394B">
      <w:pPr>
        <w:pStyle w:val="Testonotaapidipagina"/>
        <w:jc w:val="both"/>
        <w:rPr>
          <w:rFonts w:ascii="Times New Roman" w:hAnsi="Times New Roman" w:cs="Times New Roman"/>
        </w:rPr>
      </w:pPr>
      <w:r>
        <w:rPr>
          <w:rFonts w:ascii="Times New Roman" w:hAnsi="Times New Roman" w:cs="Times New Roman"/>
        </w:rPr>
        <w:tab/>
      </w:r>
      <w:r w:rsidRPr="00A0394B">
        <w:rPr>
          <w:rStyle w:val="Rimandonotaapidipagina"/>
          <w:rFonts w:ascii="Times New Roman" w:hAnsi="Times New Roman" w:cs="Times New Roman"/>
        </w:rPr>
        <w:footnoteRef/>
      </w:r>
      <w:r w:rsidRPr="00A0394B">
        <w:rPr>
          <w:rFonts w:ascii="Times New Roman" w:hAnsi="Times New Roman" w:cs="Times New Roman"/>
        </w:rPr>
        <w:t xml:space="preserve"> </w:t>
      </w:r>
      <w:r>
        <w:rPr>
          <w:rFonts w:ascii="Times New Roman" w:hAnsi="Times New Roman" w:cs="Times New Roman"/>
        </w:rPr>
        <w:t xml:space="preserve">Altro rinvio a </w:t>
      </w:r>
      <w:r>
        <w:rPr>
          <w:rFonts w:ascii="Times New Roman" w:hAnsi="Times New Roman" w:cs="Times New Roman"/>
          <w:i/>
        </w:rPr>
        <w:t>Kunarac</w:t>
      </w:r>
      <w:r>
        <w:rPr>
          <w:rFonts w:ascii="Times New Roman" w:hAnsi="Times New Roman" w:cs="Times New Roman"/>
        </w:rPr>
        <w:t xml:space="preserve">, ma anche al caso </w:t>
      </w:r>
      <w:r w:rsidRPr="00A0394B">
        <w:rPr>
          <w:rFonts w:ascii="Times New Roman" w:hAnsi="Times New Roman" w:cs="Times New Roman"/>
          <w:i/>
        </w:rPr>
        <w:t>Furundžija</w:t>
      </w:r>
      <w:r w:rsidRPr="00A0394B">
        <w:rPr>
          <w:rFonts w:ascii="Times New Roman" w:hAnsi="Times New Roman" w:cs="Times New Roman"/>
        </w:rPr>
        <w:t>,</w:t>
      </w:r>
      <w:r>
        <w:rPr>
          <w:rFonts w:ascii="Times New Roman" w:hAnsi="Times New Roman" w:cs="Times New Roman"/>
        </w:rPr>
        <w:t xml:space="preserve"> sul quale già ci si è intrattenuti durante il presente lavoro (v. §179, nota 332): </w:t>
      </w:r>
    </w:p>
  </w:footnote>
  <w:footnote w:id="35">
    <w:p w:rsidR="003F627C" w:rsidRPr="00A45F36" w:rsidRDefault="003F627C" w:rsidP="00A45F36">
      <w:pPr>
        <w:pStyle w:val="Testonotaapidipagina"/>
        <w:jc w:val="both"/>
        <w:rPr>
          <w:rFonts w:ascii="Times New Roman" w:hAnsi="Times New Roman" w:cs="Times New Roman"/>
        </w:rPr>
      </w:pPr>
      <w:r>
        <w:rPr>
          <w:rFonts w:ascii="Times New Roman" w:hAnsi="Times New Roman" w:cs="Times New Roman"/>
        </w:rPr>
        <w:tab/>
      </w:r>
      <w:r w:rsidRPr="00A45F36">
        <w:rPr>
          <w:rStyle w:val="Rimandonotaapidipagina"/>
          <w:rFonts w:ascii="Times New Roman" w:hAnsi="Times New Roman" w:cs="Times New Roman"/>
        </w:rPr>
        <w:footnoteRef/>
      </w:r>
      <w:r w:rsidRPr="002C0AD5">
        <w:rPr>
          <w:rFonts w:ascii="Times New Roman" w:hAnsi="Times New Roman" w:cs="Times New Roman"/>
          <w:lang w:val="en-US"/>
        </w:rPr>
        <w:t xml:space="preserve"> «</w:t>
      </w:r>
      <w:r w:rsidRPr="002C0AD5">
        <w:rPr>
          <w:rFonts w:ascii="Times New Roman" w:hAnsi="Times New Roman" w:cs="Times New Roman"/>
          <w:i/>
          <w:lang w:val="en-US"/>
        </w:rPr>
        <w:t>After all, an unlikely or untrustworthy story is not made more likely or more trustworthy simply by rote repetition</w:t>
      </w:r>
      <w:r w:rsidRPr="002C0AD5">
        <w:rPr>
          <w:rFonts w:ascii="Times New Roman" w:hAnsi="Times New Roman" w:cs="Times New Roman"/>
          <w:lang w:val="en-US"/>
        </w:rPr>
        <w:t xml:space="preserve">» (§180). </w:t>
      </w:r>
      <w:r>
        <w:rPr>
          <w:rFonts w:ascii="Times New Roman" w:hAnsi="Times New Roman" w:cs="Times New Roman"/>
        </w:rPr>
        <w:t xml:space="preserve">E qui il richiamo va al caso </w:t>
      </w:r>
      <w:r w:rsidRPr="00A45F36">
        <w:rPr>
          <w:rFonts w:ascii="Times New Roman" w:hAnsi="Times New Roman" w:cs="Times New Roman"/>
          <w:i/>
        </w:rPr>
        <w:t>Ntakirutimana e Ntakirutimana</w:t>
      </w:r>
      <w:r>
        <w:rPr>
          <w:rFonts w:ascii="Times New Roman" w:hAnsi="Times New Roman" w:cs="Times New Roman"/>
        </w:rPr>
        <w:t xml:space="preserve"> (ICTR-96-17).</w:t>
      </w:r>
    </w:p>
  </w:footnote>
  <w:footnote w:id="36">
    <w:p w:rsidR="003F627C" w:rsidRPr="00BD720C" w:rsidRDefault="003F627C" w:rsidP="00BD720C">
      <w:pPr>
        <w:pStyle w:val="Testonotaapidipagina"/>
        <w:jc w:val="both"/>
        <w:rPr>
          <w:rFonts w:ascii="Times New Roman" w:hAnsi="Times New Roman" w:cs="Times New Roman"/>
        </w:rPr>
      </w:pPr>
      <w:r>
        <w:rPr>
          <w:rFonts w:ascii="Times New Roman" w:hAnsi="Times New Roman" w:cs="Times New Roman"/>
        </w:rPr>
        <w:tab/>
      </w:r>
      <w:r w:rsidRPr="00BD720C">
        <w:rPr>
          <w:rStyle w:val="Rimandonotaapidipagina"/>
          <w:rFonts w:ascii="Times New Roman" w:hAnsi="Times New Roman" w:cs="Times New Roman"/>
        </w:rPr>
        <w:footnoteRef/>
      </w:r>
      <w:r w:rsidRPr="00BD720C">
        <w:rPr>
          <w:rFonts w:ascii="Times New Roman" w:hAnsi="Times New Roman" w:cs="Times New Roman"/>
        </w:rPr>
        <w:t xml:space="preserve"> </w:t>
      </w:r>
      <w:r>
        <w:rPr>
          <w:rFonts w:ascii="Times New Roman" w:hAnsi="Times New Roman" w:cs="Times New Roman"/>
        </w:rPr>
        <w:t xml:space="preserve">Cfr. §§324 e 325 del </w:t>
      </w:r>
      <w:r>
        <w:rPr>
          <w:rFonts w:ascii="Times New Roman" w:hAnsi="Times New Roman" w:cs="Times New Roman"/>
          <w:i/>
        </w:rPr>
        <w:t xml:space="preserve">Judgment and Sentence </w:t>
      </w:r>
      <w:r>
        <w:rPr>
          <w:rFonts w:ascii="Times New Roman" w:hAnsi="Times New Roman" w:cs="Times New Roman"/>
        </w:rPr>
        <w:t xml:space="preserve">nel caso </w:t>
      </w:r>
      <w:r>
        <w:rPr>
          <w:rFonts w:ascii="Times New Roman" w:hAnsi="Times New Roman" w:cs="Times New Roman"/>
          <w:i/>
        </w:rPr>
        <w:t>Nyiramasuhuko</w:t>
      </w:r>
      <w:r>
        <w:rPr>
          <w:rFonts w:ascii="Times New Roman" w:hAnsi="Times New Roman" w:cs="Times New Roman"/>
        </w:rPr>
        <w:t>.</w:t>
      </w:r>
    </w:p>
  </w:footnote>
  <w:footnote w:id="37">
    <w:p w:rsidR="003F627C" w:rsidRPr="00861F7E" w:rsidRDefault="003F627C" w:rsidP="00861F7E">
      <w:pPr>
        <w:pStyle w:val="Testonotaapidipagina"/>
        <w:ind w:firstLine="708"/>
        <w:jc w:val="both"/>
        <w:rPr>
          <w:rFonts w:ascii="Times New Roman" w:hAnsi="Times New Roman" w:cs="Times New Roman"/>
          <w:lang w:val="en-US"/>
        </w:rPr>
      </w:pPr>
      <w:r w:rsidRPr="00861F7E">
        <w:rPr>
          <w:rStyle w:val="Rimandonotaapidipagina"/>
          <w:rFonts w:ascii="Times New Roman" w:hAnsi="Times New Roman" w:cs="Times New Roman"/>
        </w:rPr>
        <w:footnoteRef/>
      </w:r>
      <w:r w:rsidRPr="00861F7E">
        <w:rPr>
          <w:rFonts w:ascii="Times New Roman" w:hAnsi="Times New Roman" w:cs="Times New Roman"/>
        </w:rPr>
        <w:t xml:space="preserve"> </w:t>
      </w:r>
      <w:r>
        <w:rPr>
          <w:rFonts w:ascii="Times New Roman" w:hAnsi="Times New Roman" w:cs="Times New Roman"/>
        </w:rPr>
        <w:t xml:space="preserve">Sotto questo profilo, non manca chi distingue tra </w:t>
      </w:r>
      <w:r>
        <w:rPr>
          <w:rFonts w:ascii="Times New Roman" w:hAnsi="Times New Roman" w:cs="Times New Roman"/>
          <w:i/>
        </w:rPr>
        <w:t xml:space="preserve">reparation </w:t>
      </w:r>
      <w:r>
        <w:rPr>
          <w:rFonts w:ascii="Times New Roman" w:hAnsi="Times New Roman" w:cs="Times New Roman"/>
        </w:rPr>
        <w:t xml:space="preserve">e </w:t>
      </w:r>
      <w:r>
        <w:rPr>
          <w:rFonts w:ascii="Times New Roman" w:hAnsi="Times New Roman" w:cs="Times New Roman"/>
          <w:i/>
        </w:rPr>
        <w:t>victim support</w:t>
      </w:r>
      <w:r>
        <w:rPr>
          <w:rFonts w:ascii="Times New Roman" w:hAnsi="Times New Roman" w:cs="Times New Roman"/>
        </w:rPr>
        <w:t xml:space="preserve">: la prima è l’attività compiuta dall’ICC nell’ordinare la riparazione del danno mediante apposito provvedimento; la seconda è l’insieme di azioni del TFV (il fondo fiduciario per le vittime) che forniscono assistenza agli offesi durante e al di là degli esiti del processo, cioè indipendentemente dall’emissione di ordini di riparazione o da sentenze di condanna rese dalla Corte. </w:t>
      </w:r>
      <w:r w:rsidRPr="00861F7E">
        <w:rPr>
          <w:rFonts w:ascii="Times New Roman" w:hAnsi="Times New Roman" w:cs="Times New Roman"/>
          <w:i/>
          <w:lang w:val="en-US"/>
        </w:rPr>
        <w:t>Amplius</w:t>
      </w:r>
      <w:r w:rsidRPr="00861F7E">
        <w:rPr>
          <w:rFonts w:ascii="Times New Roman" w:hAnsi="Times New Roman" w:cs="Times New Roman"/>
          <w:lang w:val="en-US"/>
        </w:rPr>
        <w:t xml:space="preserve">, McCarthy, </w:t>
      </w:r>
      <w:r w:rsidRPr="00861F7E">
        <w:rPr>
          <w:rFonts w:ascii="Times New Roman" w:hAnsi="Times New Roman" w:cs="Times New Roman"/>
          <w:i/>
          <w:lang w:val="en-US"/>
        </w:rPr>
        <w:t>Reparations and Victim Support in the International Criminal C</w:t>
      </w:r>
      <w:r>
        <w:rPr>
          <w:rFonts w:ascii="Times New Roman" w:hAnsi="Times New Roman" w:cs="Times New Roman"/>
          <w:i/>
          <w:lang w:val="en-US"/>
        </w:rPr>
        <w:t>ourt</w:t>
      </w:r>
      <w:r>
        <w:rPr>
          <w:rFonts w:ascii="Times New Roman" w:hAnsi="Times New Roman" w:cs="Times New Roman"/>
          <w:lang w:val="en-US"/>
        </w:rPr>
        <w:t>, Cambridge University Press, in partic. p. 75 ss..</w:t>
      </w:r>
    </w:p>
  </w:footnote>
  <w:footnote w:id="38">
    <w:p w:rsidR="003F627C" w:rsidRPr="00861F7E" w:rsidRDefault="003F627C" w:rsidP="00861F7E">
      <w:pPr>
        <w:pStyle w:val="Testonotaapidipagina"/>
        <w:ind w:firstLine="708"/>
        <w:jc w:val="both"/>
        <w:rPr>
          <w:rFonts w:ascii="Times New Roman" w:hAnsi="Times New Roman" w:cs="Times New Roman"/>
        </w:rPr>
      </w:pPr>
      <w:r w:rsidRPr="00861F7E">
        <w:rPr>
          <w:rStyle w:val="Rimandonotaapidipagina"/>
          <w:rFonts w:ascii="Times New Roman" w:hAnsi="Times New Roman" w:cs="Times New Roman"/>
        </w:rPr>
        <w:footnoteRef/>
      </w:r>
      <w:r w:rsidRPr="00861F7E">
        <w:rPr>
          <w:rFonts w:ascii="Times New Roman" w:hAnsi="Times New Roman" w:cs="Times New Roman"/>
        </w:rPr>
        <w:t xml:space="preserve"> </w:t>
      </w:r>
      <w:r>
        <w:rPr>
          <w:rFonts w:ascii="Times New Roman" w:hAnsi="Times New Roman" w:cs="Times New Roman"/>
        </w:rPr>
        <w:t xml:space="preserve">In questo senso, la ICC continua e approfondisce un percorso già avviato con i Tribunali </w:t>
      </w:r>
      <w:r>
        <w:rPr>
          <w:rFonts w:ascii="Times New Roman" w:hAnsi="Times New Roman" w:cs="Times New Roman"/>
          <w:i/>
        </w:rPr>
        <w:t>ad hoc</w:t>
      </w:r>
      <w:r>
        <w:rPr>
          <w:rFonts w:ascii="Times New Roman" w:hAnsi="Times New Roman" w:cs="Times New Roman"/>
        </w:rPr>
        <w:t xml:space="preserve">, che pure prevedevano VWS o – lo si è visto nei precedenti paragrafi – misure volte a proteggere le vittime-testimoni: v. art. 22 StICTY e art. 21 StICTR e le rispettive fonti regolamentari. </w:t>
      </w:r>
    </w:p>
  </w:footnote>
  <w:footnote w:id="39">
    <w:p w:rsidR="003F627C" w:rsidRPr="00742777" w:rsidRDefault="003F627C" w:rsidP="00742777">
      <w:pPr>
        <w:pStyle w:val="Testonotaapidipagina"/>
        <w:ind w:firstLine="708"/>
        <w:jc w:val="both"/>
        <w:rPr>
          <w:rFonts w:ascii="Times New Roman" w:hAnsi="Times New Roman" w:cs="Times New Roman"/>
        </w:rPr>
      </w:pPr>
      <w:r w:rsidRPr="00742777">
        <w:rPr>
          <w:rStyle w:val="Rimandonotaapidipagina"/>
          <w:rFonts w:ascii="Times New Roman" w:hAnsi="Times New Roman" w:cs="Times New Roman"/>
        </w:rPr>
        <w:footnoteRef/>
      </w:r>
      <w:r w:rsidRPr="00742777">
        <w:rPr>
          <w:rFonts w:ascii="Times New Roman" w:hAnsi="Times New Roman" w:cs="Times New Roman"/>
        </w:rPr>
        <w:t xml:space="preserve"> </w:t>
      </w:r>
      <w:r>
        <w:rPr>
          <w:rFonts w:ascii="Times New Roman" w:hAnsi="Times New Roman" w:cs="Times New Roman"/>
        </w:rPr>
        <w:t xml:space="preserve">Per un riferimento alla quale, anche nel diritto internazionale, p.es., Wilson, </w:t>
      </w:r>
      <w:r>
        <w:rPr>
          <w:rFonts w:ascii="Times New Roman" w:hAnsi="Times New Roman" w:cs="Times New Roman"/>
          <w:i/>
        </w:rPr>
        <w:t>The Politics of Truth and Reconciliation in South-Africa, Legitimising the Post-Apartheid State</w:t>
      </w:r>
      <w:r>
        <w:rPr>
          <w:rFonts w:ascii="Times New Roman" w:hAnsi="Times New Roman" w:cs="Times New Roman"/>
        </w:rPr>
        <w:t xml:space="preserve">, Cambridge, 2001 o Roche, </w:t>
      </w:r>
      <w:r>
        <w:rPr>
          <w:rFonts w:ascii="Times New Roman" w:hAnsi="Times New Roman" w:cs="Times New Roman"/>
          <w:i/>
        </w:rPr>
        <w:t>Accountability in Restorative Justice</w:t>
      </w:r>
      <w:r>
        <w:rPr>
          <w:rFonts w:ascii="Times New Roman" w:hAnsi="Times New Roman" w:cs="Times New Roman"/>
        </w:rPr>
        <w:t>, Oxford, 2003.</w:t>
      </w:r>
    </w:p>
  </w:footnote>
  <w:footnote w:id="40">
    <w:p w:rsidR="003F627C" w:rsidRPr="00742777" w:rsidRDefault="003F627C" w:rsidP="00742777">
      <w:pPr>
        <w:pStyle w:val="Testonotaapidipagina"/>
        <w:ind w:firstLine="708"/>
        <w:jc w:val="both"/>
        <w:rPr>
          <w:rFonts w:ascii="Times New Roman" w:hAnsi="Times New Roman" w:cs="Times New Roman"/>
        </w:rPr>
      </w:pPr>
      <w:r w:rsidRPr="00742777">
        <w:rPr>
          <w:rStyle w:val="Rimandonotaapidipagina"/>
          <w:rFonts w:ascii="Times New Roman" w:hAnsi="Times New Roman" w:cs="Times New Roman"/>
        </w:rPr>
        <w:footnoteRef/>
      </w:r>
      <w:r w:rsidRPr="00742777">
        <w:rPr>
          <w:rFonts w:ascii="Times New Roman" w:hAnsi="Times New Roman" w:cs="Times New Roman"/>
        </w:rPr>
        <w:t xml:space="preserve"> </w:t>
      </w:r>
      <w:r>
        <w:rPr>
          <w:rFonts w:ascii="Times New Roman" w:hAnsi="Times New Roman" w:cs="Times New Roman"/>
        </w:rPr>
        <w:t>I Convenzione di Ginevra (1949), art. 12.</w:t>
      </w:r>
    </w:p>
  </w:footnote>
  <w:footnote w:id="41">
    <w:p w:rsidR="003F627C" w:rsidRPr="00832FFD" w:rsidRDefault="003F627C" w:rsidP="00832FFD">
      <w:pPr>
        <w:pStyle w:val="Testonotaapidipagina"/>
        <w:ind w:firstLine="708"/>
        <w:jc w:val="both"/>
        <w:rPr>
          <w:rFonts w:ascii="Times New Roman" w:hAnsi="Times New Roman" w:cs="Times New Roman"/>
        </w:rPr>
      </w:pPr>
      <w:r w:rsidRPr="00832FFD">
        <w:rPr>
          <w:rStyle w:val="Rimandonotaapidipagina"/>
          <w:rFonts w:ascii="Times New Roman" w:hAnsi="Times New Roman" w:cs="Times New Roman"/>
        </w:rPr>
        <w:footnoteRef/>
      </w:r>
      <w:r w:rsidRPr="00832FFD">
        <w:rPr>
          <w:rFonts w:ascii="Times New Roman" w:hAnsi="Times New Roman" w:cs="Times New Roman"/>
        </w:rPr>
        <w:t xml:space="preserve"> </w:t>
      </w:r>
      <w:r>
        <w:rPr>
          <w:rFonts w:ascii="Times New Roman" w:hAnsi="Times New Roman" w:cs="Times New Roman"/>
        </w:rPr>
        <w:t xml:space="preserve">In ciò tornano le parole della </w:t>
      </w:r>
      <w:r>
        <w:rPr>
          <w:rFonts w:ascii="Times New Roman" w:hAnsi="Times New Roman" w:cs="Times New Roman"/>
          <w:i/>
        </w:rPr>
        <w:t>Testimone 50</w:t>
      </w:r>
      <w:r>
        <w:rPr>
          <w:rFonts w:ascii="Times New Roman" w:hAnsi="Times New Roman" w:cs="Times New Roman"/>
        </w:rPr>
        <w:t xml:space="preserve"> in</w:t>
      </w:r>
      <w:r>
        <w:rPr>
          <w:rFonts w:ascii="Times New Roman" w:hAnsi="Times New Roman" w:cs="Times New Roman"/>
          <w:i/>
        </w:rPr>
        <w:t xml:space="preserve"> Kunarac</w:t>
      </w:r>
      <w:r>
        <w:rPr>
          <w:rFonts w:ascii="Times New Roman" w:hAnsi="Times New Roman" w:cs="Times New Roman"/>
        </w:rPr>
        <w:t>.</w:t>
      </w:r>
    </w:p>
  </w:footnote>
  <w:footnote w:id="42">
    <w:p w:rsidR="003F627C" w:rsidRPr="00832FFD" w:rsidRDefault="003F627C" w:rsidP="00832FFD">
      <w:pPr>
        <w:pStyle w:val="Testonotaapidipagina"/>
        <w:ind w:firstLine="708"/>
        <w:jc w:val="both"/>
        <w:rPr>
          <w:rFonts w:ascii="Times New Roman" w:hAnsi="Times New Roman" w:cs="Times New Roman"/>
          <w:lang w:val="en-US"/>
        </w:rPr>
      </w:pPr>
      <w:r w:rsidRPr="00832FFD">
        <w:rPr>
          <w:rStyle w:val="Rimandonotaapidipagina"/>
          <w:rFonts w:ascii="Times New Roman" w:hAnsi="Times New Roman" w:cs="Times New Roman"/>
        </w:rPr>
        <w:footnoteRef/>
      </w:r>
      <w:r w:rsidRPr="00832FFD">
        <w:rPr>
          <w:rFonts w:ascii="Times New Roman" w:hAnsi="Times New Roman" w:cs="Times New Roman"/>
          <w:lang w:val="en-US"/>
        </w:rPr>
        <w:t xml:space="preserve"> Cfr. </w:t>
      </w:r>
      <w:r>
        <w:rPr>
          <w:rFonts w:ascii="Times New Roman" w:hAnsi="Times New Roman" w:cs="Times New Roman"/>
          <w:lang w:val="en-US"/>
        </w:rPr>
        <w:t xml:space="preserve">Buchowska, </w:t>
      </w:r>
      <w:r>
        <w:rPr>
          <w:rFonts w:ascii="Times New Roman" w:hAnsi="Times New Roman" w:cs="Times New Roman"/>
          <w:i/>
          <w:lang w:val="en-US"/>
        </w:rPr>
        <w:t>Violated or protected. Women’s rights in armed conflicts after the Second World War</w:t>
      </w:r>
      <w:r>
        <w:rPr>
          <w:rFonts w:ascii="Times New Roman" w:hAnsi="Times New Roman" w:cs="Times New Roman"/>
          <w:lang w:val="en-US"/>
        </w:rPr>
        <w:t xml:space="preserve">, in </w:t>
      </w:r>
      <w:r>
        <w:rPr>
          <w:rFonts w:ascii="Times New Roman" w:hAnsi="Times New Roman" w:cs="Times New Roman"/>
          <w:i/>
          <w:lang w:val="en-US"/>
        </w:rPr>
        <w:t>International Comparative Jurisprudence</w:t>
      </w:r>
      <w:r>
        <w:rPr>
          <w:rFonts w:ascii="Times New Roman" w:hAnsi="Times New Roman" w:cs="Times New Roman"/>
          <w:lang w:val="en-US"/>
        </w:rPr>
        <w:t xml:space="preserve">, dicembre 2016, pp. 72 ss.. L’Autrice cita Gardam, Charlesworth, </w:t>
      </w:r>
      <w:r w:rsidRPr="00832FFD">
        <w:rPr>
          <w:rFonts w:ascii="Times New Roman" w:hAnsi="Times New Roman" w:cs="Times New Roman"/>
          <w:i/>
          <w:lang w:val="en-US"/>
        </w:rPr>
        <w:t>Protection of Women in Armed Conflicts</w:t>
      </w:r>
      <w:r>
        <w:rPr>
          <w:rFonts w:ascii="Times New Roman" w:hAnsi="Times New Roman" w:cs="Times New Roman"/>
          <w:lang w:val="en-US"/>
        </w:rPr>
        <w:t xml:space="preserve">, in </w:t>
      </w:r>
      <w:r>
        <w:rPr>
          <w:rFonts w:ascii="Times New Roman" w:hAnsi="Times New Roman" w:cs="Times New Roman"/>
          <w:i/>
          <w:lang w:val="en-US"/>
        </w:rPr>
        <w:t>Human Rights Quarterly</w:t>
      </w:r>
      <w:r>
        <w:rPr>
          <w:rFonts w:ascii="Times New Roman" w:hAnsi="Times New Roman" w:cs="Times New Roman"/>
          <w:lang w:val="en-US"/>
        </w:rPr>
        <w:t xml:space="preserve"> (22), 2000, vol. I, pp. 148 ss..</w:t>
      </w:r>
    </w:p>
  </w:footnote>
  <w:footnote w:id="43">
    <w:p w:rsidR="003F627C" w:rsidRPr="00832FFD" w:rsidRDefault="003F627C" w:rsidP="00832FFD">
      <w:pPr>
        <w:pStyle w:val="Testonotaapidipagina"/>
        <w:ind w:firstLine="708"/>
        <w:jc w:val="both"/>
        <w:rPr>
          <w:rFonts w:ascii="Times New Roman" w:hAnsi="Times New Roman" w:cs="Times New Roman"/>
          <w:lang w:val="fr-FR"/>
        </w:rPr>
      </w:pPr>
      <w:r w:rsidRPr="00832FFD">
        <w:rPr>
          <w:rStyle w:val="Rimandonotaapidipagina"/>
          <w:rFonts w:ascii="Times New Roman" w:hAnsi="Times New Roman" w:cs="Times New Roman"/>
        </w:rPr>
        <w:footnoteRef/>
      </w:r>
      <w:r w:rsidRPr="00832FFD">
        <w:rPr>
          <w:rFonts w:ascii="Times New Roman" w:hAnsi="Times New Roman" w:cs="Times New Roman"/>
          <w:lang w:val="fr-FR"/>
        </w:rPr>
        <w:t xml:space="preserve"> In tema, Jenagène Vilmer,</w:t>
      </w:r>
      <w:r w:rsidRPr="00832FFD">
        <w:rPr>
          <w:rFonts w:ascii="Times New Roman" w:hAnsi="Times New Roman" w:cs="Times New Roman"/>
          <w:i/>
          <w:lang w:val="fr-FR"/>
        </w:rPr>
        <w:t xml:space="preserve"> Réparer l</w:t>
      </w:r>
      <w:r>
        <w:rPr>
          <w:rFonts w:ascii="Times New Roman" w:hAnsi="Times New Roman" w:cs="Times New Roman"/>
          <w:i/>
          <w:lang w:val="fr-FR"/>
        </w:rPr>
        <w:t>’irréparable :les réparations aux victimes devant la Cour pénale internationale</w:t>
      </w:r>
      <w:r>
        <w:rPr>
          <w:rFonts w:ascii="Times New Roman" w:hAnsi="Times New Roman" w:cs="Times New Roman"/>
          <w:lang w:val="fr-FR"/>
        </w:rPr>
        <w:t>, PUF, 2009, p. 24.</w:t>
      </w:r>
    </w:p>
  </w:footnote>
  <w:footnote w:id="44">
    <w:p w:rsidR="003F627C" w:rsidRPr="003F73C2" w:rsidRDefault="003F627C" w:rsidP="003F73C2">
      <w:pPr>
        <w:pStyle w:val="Testonotaapidipagina"/>
        <w:ind w:firstLine="708"/>
        <w:jc w:val="both"/>
        <w:rPr>
          <w:rFonts w:ascii="Times New Roman" w:hAnsi="Times New Roman" w:cs="Times New Roman"/>
        </w:rPr>
      </w:pPr>
      <w:r w:rsidRPr="003F73C2">
        <w:rPr>
          <w:rStyle w:val="Rimandonotaapidipagina"/>
          <w:rFonts w:ascii="Times New Roman" w:hAnsi="Times New Roman" w:cs="Times New Roman"/>
        </w:rPr>
        <w:footnoteRef/>
      </w:r>
      <w:r w:rsidRPr="003F73C2">
        <w:rPr>
          <w:rFonts w:ascii="Times New Roman" w:hAnsi="Times New Roman" w:cs="Times New Roman"/>
        </w:rPr>
        <w:t xml:space="preserve"> </w:t>
      </w:r>
      <w:r>
        <w:rPr>
          <w:rFonts w:ascii="Times New Roman" w:hAnsi="Times New Roman" w:cs="Times New Roman"/>
        </w:rPr>
        <w:t xml:space="preserve">Come del resto impongono le Corti internazionali per i diritti umani – soprattutto, ma non solo, quella interamericana – e i </w:t>
      </w:r>
      <w:r>
        <w:rPr>
          <w:rFonts w:ascii="Times New Roman" w:hAnsi="Times New Roman" w:cs="Times New Roman"/>
          <w:i/>
        </w:rPr>
        <w:t>Basic Principles</w:t>
      </w:r>
      <w:r>
        <w:rPr>
          <w:rFonts w:ascii="Times New Roman" w:hAnsi="Times New Roman" w:cs="Times New Roman"/>
        </w:rPr>
        <w:t xml:space="preserve"> delle Nazioni Unite.</w:t>
      </w:r>
    </w:p>
  </w:footnote>
  <w:footnote w:id="45">
    <w:p w:rsidR="003F627C" w:rsidRDefault="003F627C" w:rsidP="00B514DD">
      <w:pPr>
        <w:pStyle w:val="Testonotaapidipagina"/>
        <w:ind w:firstLine="708"/>
        <w:jc w:val="both"/>
        <w:rPr>
          <w:rFonts w:ascii="Times New Roman" w:hAnsi="Times New Roman" w:cs="Times New Roman"/>
        </w:rPr>
      </w:pPr>
      <w:r w:rsidRPr="00B514DD">
        <w:rPr>
          <w:rStyle w:val="Rimandonotaapidipagina"/>
          <w:rFonts w:ascii="Times New Roman" w:hAnsi="Times New Roman" w:cs="Times New Roman"/>
        </w:rPr>
        <w:footnoteRef/>
      </w:r>
      <w:r w:rsidRPr="00B514DD">
        <w:rPr>
          <w:rFonts w:ascii="Times New Roman" w:hAnsi="Times New Roman" w:cs="Times New Roman"/>
        </w:rPr>
        <w:t xml:space="preserve"> </w:t>
      </w:r>
      <w:r w:rsidRPr="003F73C2">
        <w:rPr>
          <w:rFonts w:ascii="Times New Roman" w:hAnsi="Times New Roman" w:cs="Times New Roman"/>
        </w:rPr>
        <w:t>Per quanto vi siano autor</w:t>
      </w:r>
      <w:r>
        <w:rPr>
          <w:rFonts w:ascii="Times New Roman" w:hAnsi="Times New Roman" w:cs="Times New Roman"/>
        </w:rPr>
        <w:t xml:space="preserve">i che parlano addirittura di “vittime non meritevoli”: coloro che, pur colpite dal delitto, hanno contribuito a porlo in essere, oppure persino le vittime ricche, che non abbisognano di indispensabili interventi riparativi (Jenagène Vilmer, </w:t>
      </w:r>
      <w:r>
        <w:rPr>
          <w:rFonts w:ascii="Times New Roman" w:hAnsi="Times New Roman" w:cs="Times New Roman"/>
          <w:i/>
        </w:rPr>
        <w:t>Réparer l’irréparable</w:t>
      </w:r>
      <w:r>
        <w:rPr>
          <w:rFonts w:ascii="Times New Roman" w:hAnsi="Times New Roman" w:cs="Times New Roman"/>
        </w:rPr>
        <w:t xml:space="preserve">, cit., p. 35). </w:t>
      </w:r>
    </w:p>
    <w:p w:rsidR="003F627C" w:rsidRPr="00B514DD" w:rsidRDefault="003F627C" w:rsidP="00B514DD">
      <w:pPr>
        <w:pStyle w:val="Testonotaapidipagina"/>
        <w:ind w:firstLine="708"/>
        <w:jc w:val="both"/>
        <w:rPr>
          <w:rFonts w:ascii="Times New Roman" w:hAnsi="Times New Roman" w:cs="Times New Roman"/>
        </w:rPr>
      </w:pPr>
      <w:r w:rsidRPr="00B514DD">
        <w:rPr>
          <w:rFonts w:ascii="Times New Roman" w:hAnsi="Times New Roman" w:cs="Times New Roman"/>
        </w:rPr>
        <w:t>Chi scrive non condivide tale posizione, vuoi perché il r</w:t>
      </w:r>
      <w:r>
        <w:rPr>
          <w:rFonts w:ascii="Times New Roman" w:hAnsi="Times New Roman" w:cs="Times New Roman"/>
        </w:rPr>
        <w:t>eddito dell’offeso non deve limitarne la partecipazione al processo, vuoi perché, qualora la vittima sia riconosciuta come non meritevole per un suo coinvolgimento nel fatto, essa stessa perde la propria qualifica e, allora, ben può essere che non venga trattata alla stregua della persona offesa nel processo. Insomma, una vittima è tale o non lo è, senza modulazioni in punto di meritevolezza dell’azione protettiva della Corte.</w:t>
      </w:r>
    </w:p>
  </w:footnote>
  <w:footnote w:id="46">
    <w:p w:rsidR="003F627C" w:rsidRPr="003F73C2" w:rsidRDefault="003F627C" w:rsidP="003F73C2">
      <w:pPr>
        <w:pStyle w:val="Testonotaapidipagina"/>
        <w:ind w:firstLine="708"/>
        <w:jc w:val="both"/>
        <w:rPr>
          <w:rFonts w:ascii="Times New Roman" w:hAnsi="Times New Roman" w:cs="Times New Roman"/>
          <w:lang w:val="fr-FR"/>
        </w:rPr>
      </w:pPr>
      <w:r w:rsidRPr="003F73C2">
        <w:rPr>
          <w:rStyle w:val="Rimandonotaapidipagina"/>
          <w:rFonts w:ascii="Times New Roman" w:hAnsi="Times New Roman" w:cs="Times New Roman"/>
        </w:rPr>
        <w:footnoteRef/>
      </w:r>
      <w:r w:rsidRPr="003F73C2">
        <w:rPr>
          <w:rFonts w:ascii="Times New Roman" w:hAnsi="Times New Roman" w:cs="Times New Roman"/>
          <w:lang w:val="fr-FR"/>
        </w:rPr>
        <w:t xml:space="preserve"> Sull’inclusione delle vittime indirette, si vedano gli atti del processo a Lubanga Dyilo: «</w:t>
      </w:r>
      <w:r w:rsidRPr="003F73C2">
        <w:rPr>
          <w:rFonts w:ascii="Times New Roman" w:hAnsi="Times New Roman" w:cs="Times New Roman"/>
          <w:i/>
          <w:lang w:val="fr-FR"/>
        </w:rPr>
        <w:t>la Chambre considère que le lien de causalité exigé par la règle 85 du Règlement au stade de l'affaire est démontré dès lors que la victime, ainsi que, le cas échéant, la famille proche ou les personnes à charge de cette victime directe…</w:t>
      </w:r>
      <w:r>
        <w:rPr>
          <w:rFonts w:ascii="Times New Roman" w:hAnsi="Times New Roman" w:cs="Times New Roman"/>
          <w:lang w:val="fr-FR"/>
        </w:rPr>
        <w:t>» (decisione del 29 giugno 2006, pp. 7-8).</w:t>
      </w:r>
    </w:p>
  </w:footnote>
  <w:footnote w:id="47">
    <w:p w:rsidR="003F627C" w:rsidRPr="005638F8" w:rsidRDefault="003F627C" w:rsidP="005638F8">
      <w:pPr>
        <w:pStyle w:val="Testonotaapidipagina"/>
        <w:ind w:firstLine="708"/>
        <w:jc w:val="both"/>
        <w:rPr>
          <w:rFonts w:ascii="Times New Roman" w:hAnsi="Times New Roman" w:cs="Times New Roman"/>
        </w:rPr>
      </w:pPr>
      <w:r w:rsidRPr="005638F8">
        <w:rPr>
          <w:rStyle w:val="Rimandonotaapidipagina"/>
          <w:rFonts w:ascii="Times New Roman" w:hAnsi="Times New Roman" w:cs="Times New Roman"/>
        </w:rPr>
        <w:footnoteRef/>
      </w:r>
      <w:r>
        <w:rPr>
          <w:rFonts w:ascii="Times New Roman" w:hAnsi="Times New Roman" w:cs="Times New Roman"/>
        </w:rPr>
        <w:t xml:space="preserve"> È il §29 della sentenza.</w:t>
      </w:r>
      <w:r w:rsidRPr="005638F8">
        <w:rPr>
          <w:rFonts w:ascii="Times New Roman" w:hAnsi="Times New Roman" w:cs="Times New Roman"/>
        </w:rPr>
        <w:t xml:space="preserve"> </w:t>
      </w:r>
    </w:p>
  </w:footnote>
  <w:footnote w:id="48">
    <w:p w:rsidR="003F627C" w:rsidRPr="005638F8" w:rsidRDefault="003F627C" w:rsidP="005638F8">
      <w:pPr>
        <w:pStyle w:val="Testonotaapidipagina"/>
        <w:ind w:firstLine="708"/>
        <w:jc w:val="both"/>
        <w:rPr>
          <w:rFonts w:ascii="Times New Roman" w:hAnsi="Times New Roman" w:cs="Times New Roman"/>
        </w:rPr>
      </w:pPr>
      <w:r w:rsidRPr="005638F8">
        <w:rPr>
          <w:rStyle w:val="Rimandonotaapidipagina"/>
          <w:rFonts w:ascii="Times New Roman" w:hAnsi="Times New Roman" w:cs="Times New Roman"/>
        </w:rPr>
        <w:footnoteRef/>
      </w:r>
      <w:r>
        <w:rPr>
          <w:rFonts w:ascii="Times New Roman" w:hAnsi="Times New Roman" w:cs="Times New Roman"/>
        </w:rPr>
        <w:t xml:space="preserve"> S</w:t>
      </w:r>
      <w:r w:rsidRPr="005638F8">
        <w:rPr>
          <w:rFonts w:ascii="Times New Roman" w:hAnsi="Times New Roman" w:cs="Times New Roman"/>
        </w:rPr>
        <w:t xml:space="preserve">i legge al §31 della sentenza. </w:t>
      </w:r>
    </w:p>
  </w:footnote>
  <w:footnote w:id="49">
    <w:p w:rsidR="003F627C" w:rsidRPr="00BD5803" w:rsidRDefault="003F627C" w:rsidP="00BD5803">
      <w:pPr>
        <w:pStyle w:val="Testonotaapidipagina"/>
        <w:ind w:firstLine="708"/>
        <w:jc w:val="both"/>
        <w:rPr>
          <w:rFonts w:ascii="Times New Roman" w:hAnsi="Times New Roman" w:cs="Times New Roman"/>
        </w:rPr>
      </w:pPr>
      <w:r w:rsidRPr="00BD5803">
        <w:rPr>
          <w:rStyle w:val="Rimandonotaapidipagina"/>
          <w:rFonts w:ascii="Times New Roman" w:hAnsi="Times New Roman" w:cs="Times New Roman"/>
        </w:rPr>
        <w:footnoteRef/>
      </w:r>
      <w:r w:rsidRPr="00BD5803">
        <w:rPr>
          <w:rFonts w:ascii="Times New Roman" w:hAnsi="Times New Roman" w:cs="Times New Roman"/>
        </w:rPr>
        <w:t xml:space="preserve"> </w:t>
      </w:r>
      <w:r>
        <w:rPr>
          <w:rFonts w:ascii="Times New Roman" w:hAnsi="Times New Roman" w:cs="Times New Roman"/>
        </w:rPr>
        <w:t>Il riferimento va al §36 della sentenza.</w:t>
      </w:r>
    </w:p>
  </w:footnote>
  <w:footnote w:id="50">
    <w:p w:rsidR="003F627C" w:rsidRPr="006D2391" w:rsidRDefault="003F627C" w:rsidP="006D2391">
      <w:pPr>
        <w:pStyle w:val="Testonotaapidipagina"/>
        <w:ind w:firstLine="708"/>
        <w:jc w:val="both"/>
        <w:rPr>
          <w:rFonts w:ascii="Times New Roman" w:hAnsi="Times New Roman" w:cs="Times New Roman"/>
        </w:rPr>
      </w:pPr>
      <w:r w:rsidRPr="006D2391">
        <w:rPr>
          <w:rStyle w:val="Rimandonotaapidipagina"/>
          <w:rFonts w:ascii="Times New Roman" w:hAnsi="Times New Roman" w:cs="Times New Roman"/>
        </w:rPr>
        <w:footnoteRef/>
      </w:r>
      <w:r w:rsidRPr="006D2391">
        <w:rPr>
          <w:rFonts w:ascii="Times New Roman" w:hAnsi="Times New Roman" w:cs="Times New Roman"/>
        </w:rPr>
        <w:t xml:space="preserve"> </w:t>
      </w:r>
      <w:r>
        <w:rPr>
          <w:rFonts w:ascii="Times New Roman" w:hAnsi="Times New Roman" w:cs="Times New Roman"/>
        </w:rPr>
        <w:t xml:space="preserve">In questo senso, un bel </w:t>
      </w:r>
      <w:r>
        <w:rPr>
          <w:rFonts w:ascii="Times New Roman" w:hAnsi="Times New Roman" w:cs="Times New Roman"/>
          <w:i/>
        </w:rPr>
        <w:t>reportage</w:t>
      </w:r>
      <w:r>
        <w:rPr>
          <w:rFonts w:ascii="Times New Roman" w:hAnsi="Times New Roman" w:cs="Times New Roman"/>
        </w:rPr>
        <w:t xml:space="preserve"> a firma delle giornaliste Ariane Puccini e Camille Jourdan, dal titolo </w:t>
      </w:r>
      <w:r>
        <w:rPr>
          <w:rFonts w:ascii="Times New Roman" w:hAnsi="Times New Roman" w:cs="Times New Roman"/>
          <w:i/>
        </w:rPr>
        <w:t>Le vittime di stupro: dimenticate dalla Corte penale internazionale</w:t>
      </w:r>
      <w:r>
        <w:rPr>
          <w:rFonts w:ascii="Times New Roman" w:hAnsi="Times New Roman" w:cs="Times New Roman"/>
        </w:rPr>
        <w:t xml:space="preserve">, pubblicato sulla rivista </w:t>
      </w:r>
      <w:r>
        <w:rPr>
          <w:rFonts w:ascii="Times New Roman" w:hAnsi="Times New Roman" w:cs="Times New Roman"/>
          <w:i/>
        </w:rPr>
        <w:t>Internazionale</w:t>
      </w:r>
      <w:r>
        <w:rPr>
          <w:rFonts w:ascii="Times New Roman" w:hAnsi="Times New Roman" w:cs="Times New Roman"/>
        </w:rPr>
        <w:t xml:space="preserve"> dell’11 aprile 2017.</w:t>
      </w:r>
    </w:p>
  </w:footnote>
  <w:footnote w:id="51">
    <w:p w:rsidR="003F627C" w:rsidRPr="007953E8" w:rsidRDefault="003F627C" w:rsidP="007953E8">
      <w:pPr>
        <w:pStyle w:val="Testonotaapidipagina"/>
        <w:ind w:firstLine="708"/>
        <w:jc w:val="both"/>
        <w:rPr>
          <w:rFonts w:ascii="Times New Roman" w:hAnsi="Times New Roman" w:cs="Times New Roman"/>
        </w:rPr>
      </w:pPr>
      <w:r w:rsidRPr="007953E8">
        <w:rPr>
          <w:rStyle w:val="Rimandonotaapidipagina"/>
          <w:rFonts w:ascii="Times New Roman" w:hAnsi="Times New Roman" w:cs="Times New Roman"/>
        </w:rPr>
        <w:footnoteRef/>
      </w:r>
      <w:r w:rsidRPr="007953E8">
        <w:rPr>
          <w:rFonts w:ascii="Times New Roman" w:hAnsi="Times New Roman" w:cs="Times New Roman"/>
        </w:rPr>
        <w:t xml:space="preserve"> </w:t>
      </w:r>
      <w:r>
        <w:rPr>
          <w:rFonts w:ascii="Times New Roman" w:hAnsi="Times New Roman" w:cs="Times New Roman"/>
        </w:rPr>
        <w:t xml:space="preserve">Si legga il </w:t>
      </w:r>
      <w:r>
        <w:rPr>
          <w:rFonts w:ascii="Times New Roman" w:hAnsi="Times New Roman" w:cs="Times New Roman"/>
          <w:i/>
        </w:rPr>
        <w:t>reportage</w:t>
      </w:r>
      <w:r>
        <w:rPr>
          <w:rFonts w:ascii="Times New Roman" w:hAnsi="Times New Roman" w:cs="Times New Roman"/>
        </w:rPr>
        <w:t xml:space="preserve"> dal titolo </w:t>
      </w:r>
      <w:r>
        <w:rPr>
          <w:rFonts w:ascii="Times New Roman" w:hAnsi="Times New Roman" w:cs="Times New Roman"/>
          <w:i/>
        </w:rPr>
        <w:t>Nessuno parla delle vittime di stupro nella guerra in Ucraina</w:t>
      </w:r>
      <w:r>
        <w:rPr>
          <w:rFonts w:ascii="Times New Roman" w:hAnsi="Times New Roman" w:cs="Times New Roman"/>
        </w:rPr>
        <w:t xml:space="preserve">, a firma delle giornaliste Ilioné Schultz e Marie-Alix Détrie, apparso su </w:t>
      </w:r>
      <w:r>
        <w:rPr>
          <w:rFonts w:ascii="Times New Roman" w:hAnsi="Times New Roman" w:cs="Times New Roman"/>
          <w:i/>
        </w:rPr>
        <w:t>Internazionale</w:t>
      </w:r>
      <w:r>
        <w:rPr>
          <w:rFonts w:ascii="Times New Roman" w:hAnsi="Times New Roman" w:cs="Times New Roman"/>
        </w:rPr>
        <w:t xml:space="preserve"> il 28 marzo 2017.</w:t>
      </w:r>
    </w:p>
  </w:footnote>
  <w:footnote w:id="52">
    <w:p w:rsidR="003F627C" w:rsidRPr="007953E8" w:rsidRDefault="003F627C" w:rsidP="007953E8">
      <w:pPr>
        <w:pStyle w:val="Testonotaapidipagina"/>
        <w:ind w:firstLine="708"/>
        <w:jc w:val="both"/>
        <w:rPr>
          <w:rFonts w:ascii="Times New Roman" w:hAnsi="Times New Roman" w:cs="Times New Roman"/>
        </w:rPr>
      </w:pPr>
      <w:r w:rsidRPr="007953E8">
        <w:rPr>
          <w:rStyle w:val="Rimandonotaapidipagina"/>
          <w:rFonts w:ascii="Times New Roman" w:hAnsi="Times New Roman" w:cs="Times New Roman"/>
        </w:rPr>
        <w:footnoteRef/>
      </w:r>
      <w:r w:rsidRPr="007953E8">
        <w:rPr>
          <w:rFonts w:ascii="Times New Roman" w:hAnsi="Times New Roman" w:cs="Times New Roman"/>
        </w:rPr>
        <w:t xml:space="preserve"> </w:t>
      </w:r>
      <w:r>
        <w:rPr>
          <w:rFonts w:ascii="Times New Roman" w:hAnsi="Times New Roman" w:cs="Times New Roman"/>
        </w:rPr>
        <w:t xml:space="preserve">Il problema si è recentemente riproposto con riferimento alla situazione in Afghanistan e alla possibilità, per la Corte, di indagare i crimini là commessi dai militari statunitensi: si veda l’articolo a firma di Stephen Lendman, dal titolo </w:t>
      </w:r>
      <w:r>
        <w:rPr>
          <w:rFonts w:ascii="Times New Roman" w:hAnsi="Times New Roman" w:cs="Times New Roman"/>
          <w:i/>
        </w:rPr>
        <w:t>ICC to investigate US War Crimes in Afghanistan? Hold the Cheers</w:t>
      </w:r>
      <w:r>
        <w:rPr>
          <w:rFonts w:ascii="Times New Roman" w:hAnsi="Times New Roman" w:cs="Times New Roman"/>
        </w:rPr>
        <w:t xml:space="preserve">, in </w:t>
      </w:r>
      <w:r>
        <w:rPr>
          <w:rFonts w:ascii="Times New Roman" w:hAnsi="Times New Roman" w:cs="Times New Roman"/>
          <w:i/>
        </w:rPr>
        <w:t>Globla Research</w:t>
      </w:r>
      <w:r>
        <w:rPr>
          <w:rFonts w:ascii="Times New Roman" w:hAnsi="Times New Roman" w:cs="Times New Roman"/>
        </w:rPr>
        <w:t xml:space="preserve">, 3 novembre 2016. </w:t>
      </w:r>
    </w:p>
  </w:footnote>
  <w:footnote w:id="53">
    <w:p w:rsidR="003F627C" w:rsidRPr="00CA6081" w:rsidRDefault="003F627C" w:rsidP="00CA6081">
      <w:pPr>
        <w:pStyle w:val="Testonotaapidipagina"/>
        <w:ind w:firstLine="708"/>
        <w:jc w:val="both"/>
        <w:rPr>
          <w:rFonts w:ascii="Times New Roman" w:hAnsi="Times New Roman" w:cs="Times New Roman"/>
        </w:rPr>
      </w:pPr>
      <w:r w:rsidRPr="00CA6081">
        <w:rPr>
          <w:rStyle w:val="Rimandonotaapidipagina"/>
          <w:rFonts w:ascii="Times New Roman" w:hAnsi="Times New Roman" w:cs="Times New Roman"/>
        </w:rPr>
        <w:footnoteRef/>
      </w:r>
      <w:r w:rsidRPr="00CA6081">
        <w:rPr>
          <w:rFonts w:ascii="Times New Roman" w:hAnsi="Times New Roman" w:cs="Times New Roman"/>
        </w:rPr>
        <w:t xml:space="preserve"> </w:t>
      </w:r>
      <w:r>
        <w:rPr>
          <w:rFonts w:ascii="Times New Roman" w:hAnsi="Times New Roman" w:cs="Times New Roman"/>
        </w:rPr>
        <w:t xml:space="preserve">Così, ovviamente, il Preambolo dello Statuto di Roma, al terzo considerando. </w:t>
      </w:r>
    </w:p>
  </w:footnote>
  <w:footnote w:id="54">
    <w:p w:rsidR="003F627C" w:rsidRPr="006B1A6D" w:rsidRDefault="003F627C" w:rsidP="006B1A6D">
      <w:pPr>
        <w:pStyle w:val="Testonotaapidipagina"/>
        <w:ind w:firstLine="708"/>
        <w:jc w:val="both"/>
        <w:rPr>
          <w:rFonts w:ascii="Times New Roman" w:hAnsi="Times New Roman" w:cs="Times New Roman"/>
        </w:rPr>
      </w:pPr>
      <w:r w:rsidRPr="006B1A6D">
        <w:rPr>
          <w:rStyle w:val="Rimandonotaapidipagina"/>
          <w:rFonts w:ascii="Times New Roman" w:hAnsi="Times New Roman" w:cs="Times New Roman"/>
        </w:rPr>
        <w:footnoteRef/>
      </w:r>
      <w:r w:rsidRPr="006B1A6D">
        <w:rPr>
          <w:rFonts w:ascii="Times New Roman" w:hAnsi="Times New Roman" w:cs="Times New Roman"/>
        </w:rPr>
        <w:t xml:space="preserve"> </w:t>
      </w:r>
      <w:r>
        <w:rPr>
          <w:rFonts w:ascii="Times New Roman" w:hAnsi="Times New Roman" w:cs="Times New Roman"/>
        </w:rPr>
        <w:t xml:space="preserve">Il richiamo è ovviamente alla dicotomia “esecuzione diretta”/“esecuzione indiretta”, ben spiegato da Bassiouni, </w:t>
      </w:r>
      <w:r>
        <w:rPr>
          <w:rFonts w:ascii="Times New Roman" w:hAnsi="Times New Roman" w:cs="Times New Roman"/>
          <w:i/>
        </w:rPr>
        <w:t>A Functional Approach to “General Principles of International Law”</w:t>
      </w:r>
      <w:r>
        <w:rPr>
          <w:rFonts w:ascii="Times New Roman" w:hAnsi="Times New Roman" w:cs="Times New Roman"/>
        </w:rPr>
        <w:t xml:space="preserve">, in </w:t>
      </w:r>
      <w:r>
        <w:rPr>
          <w:rFonts w:ascii="Times New Roman" w:hAnsi="Times New Roman" w:cs="Times New Roman"/>
          <w:i/>
        </w:rPr>
        <w:t>Michigan Journal of International Law</w:t>
      </w:r>
      <w:r>
        <w:rPr>
          <w:rFonts w:ascii="Times New Roman" w:hAnsi="Times New Roman" w:cs="Times New Roman"/>
        </w:rPr>
        <w:t xml:space="preserve">, 1990, p. 768 o, dello stesso Autore, </w:t>
      </w:r>
      <w:r>
        <w:rPr>
          <w:rFonts w:ascii="Times New Roman" w:hAnsi="Times New Roman" w:cs="Times New Roman"/>
          <w:i/>
        </w:rPr>
        <w:t>Introduction to International Criminal Law</w:t>
      </w:r>
      <w:r>
        <w:rPr>
          <w:rFonts w:ascii="Times New Roman" w:hAnsi="Times New Roman" w:cs="Times New Roman"/>
        </w:rPr>
        <w:t>, Nijhoff Publishers, 2013, pp. 101 ss..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defaultTabStop w:val="708"/>
  <w:hyphenationZone w:val="283"/>
  <w:drawingGridHorizontalSpacing w:val="110"/>
  <w:displayHorizontalDrawingGridEvery w:val="2"/>
  <w:characterSpacingControl w:val="doNotCompress"/>
  <w:footnotePr>
    <w:footnote w:id="0"/>
    <w:footnote w:id="1"/>
  </w:footnotePr>
  <w:endnotePr>
    <w:endnote w:id="0"/>
    <w:endnote w:id="1"/>
  </w:endnotePr>
  <w:compat/>
  <w:rsids>
    <w:rsidRoot w:val="004B65F2"/>
    <w:rsid w:val="0003046E"/>
    <w:rsid w:val="000354D3"/>
    <w:rsid w:val="00047DB9"/>
    <w:rsid w:val="0008210F"/>
    <w:rsid w:val="000B29AF"/>
    <w:rsid w:val="00100C96"/>
    <w:rsid w:val="00111DAB"/>
    <w:rsid w:val="001121B8"/>
    <w:rsid w:val="0011610C"/>
    <w:rsid w:val="001247F3"/>
    <w:rsid w:val="0012782E"/>
    <w:rsid w:val="00142D10"/>
    <w:rsid w:val="00165C3E"/>
    <w:rsid w:val="001860D1"/>
    <w:rsid w:val="001A3C21"/>
    <w:rsid w:val="001E1494"/>
    <w:rsid w:val="001E22B9"/>
    <w:rsid w:val="002A13D6"/>
    <w:rsid w:val="002C0AD5"/>
    <w:rsid w:val="002C56A5"/>
    <w:rsid w:val="002D1DFD"/>
    <w:rsid w:val="002E3226"/>
    <w:rsid w:val="00371008"/>
    <w:rsid w:val="00386B1C"/>
    <w:rsid w:val="003B1779"/>
    <w:rsid w:val="003D4F9E"/>
    <w:rsid w:val="003E0D5F"/>
    <w:rsid w:val="003E22F0"/>
    <w:rsid w:val="003F180F"/>
    <w:rsid w:val="003F627C"/>
    <w:rsid w:val="003F73C2"/>
    <w:rsid w:val="00414E2A"/>
    <w:rsid w:val="00435CDA"/>
    <w:rsid w:val="004740AC"/>
    <w:rsid w:val="00497EA3"/>
    <w:rsid w:val="004B65F2"/>
    <w:rsid w:val="004F3B54"/>
    <w:rsid w:val="005139AF"/>
    <w:rsid w:val="00515445"/>
    <w:rsid w:val="00517831"/>
    <w:rsid w:val="00527704"/>
    <w:rsid w:val="005638F8"/>
    <w:rsid w:val="005B1F09"/>
    <w:rsid w:val="005B4BEC"/>
    <w:rsid w:val="005D52A7"/>
    <w:rsid w:val="00604F9D"/>
    <w:rsid w:val="00647C5B"/>
    <w:rsid w:val="00655061"/>
    <w:rsid w:val="006B1A6D"/>
    <w:rsid w:val="006B3378"/>
    <w:rsid w:val="006C6384"/>
    <w:rsid w:val="006D2391"/>
    <w:rsid w:val="006D67CF"/>
    <w:rsid w:val="00742777"/>
    <w:rsid w:val="0074327A"/>
    <w:rsid w:val="00746CC8"/>
    <w:rsid w:val="0076364F"/>
    <w:rsid w:val="00763A67"/>
    <w:rsid w:val="00776D83"/>
    <w:rsid w:val="0077708C"/>
    <w:rsid w:val="00784A2E"/>
    <w:rsid w:val="007953E8"/>
    <w:rsid w:val="007A762D"/>
    <w:rsid w:val="007B28AB"/>
    <w:rsid w:val="007D1CA1"/>
    <w:rsid w:val="007E26F2"/>
    <w:rsid w:val="007F74B5"/>
    <w:rsid w:val="00832FFD"/>
    <w:rsid w:val="00857B40"/>
    <w:rsid w:val="00861F7E"/>
    <w:rsid w:val="008834F6"/>
    <w:rsid w:val="008C3D52"/>
    <w:rsid w:val="008D69EE"/>
    <w:rsid w:val="008F369B"/>
    <w:rsid w:val="0092529E"/>
    <w:rsid w:val="009364D3"/>
    <w:rsid w:val="00953FF5"/>
    <w:rsid w:val="00971352"/>
    <w:rsid w:val="00995E31"/>
    <w:rsid w:val="009F2CE5"/>
    <w:rsid w:val="009F6F0B"/>
    <w:rsid w:val="00A0394B"/>
    <w:rsid w:val="00A45F36"/>
    <w:rsid w:val="00A46516"/>
    <w:rsid w:val="00A77CE3"/>
    <w:rsid w:val="00A94347"/>
    <w:rsid w:val="00A96562"/>
    <w:rsid w:val="00A96D10"/>
    <w:rsid w:val="00AA0776"/>
    <w:rsid w:val="00B16509"/>
    <w:rsid w:val="00B349E4"/>
    <w:rsid w:val="00B503BA"/>
    <w:rsid w:val="00B514DD"/>
    <w:rsid w:val="00B53F43"/>
    <w:rsid w:val="00B64DCC"/>
    <w:rsid w:val="00B74F79"/>
    <w:rsid w:val="00B904BB"/>
    <w:rsid w:val="00BB2AA9"/>
    <w:rsid w:val="00BC2697"/>
    <w:rsid w:val="00BD5803"/>
    <w:rsid w:val="00BD720C"/>
    <w:rsid w:val="00C21716"/>
    <w:rsid w:val="00C22F1C"/>
    <w:rsid w:val="00C50045"/>
    <w:rsid w:val="00CA6081"/>
    <w:rsid w:val="00CB6FD5"/>
    <w:rsid w:val="00CF5106"/>
    <w:rsid w:val="00D07854"/>
    <w:rsid w:val="00D82DF7"/>
    <w:rsid w:val="00DC1D82"/>
    <w:rsid w:val="00E1713A"/>
    <w:rsid w:val="00E34F61"/>
    <w:rsid w:val="00E479EE"/>
    <w:rsid w:val="00E974BB"/>
    <w:rsid w:val="00ED2F05"/>
    <w:rsid w:val="00EF0629"/>
    <w:rsid w:val="00EF5C63"/>
    <w:rsid w:val="00F11D97"/>
    <w:rsid w:val="00F33B75"/>
    <w:rsid w:val="00F347A7"/>
    <w:rsid w:val="00F53EF4"/>
    <w:rsid w:val="00F56CBE"/>
    <w:rsid w:val="00F827D1"/>
    <w:rsid w:val="00FA2D5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33B75"/>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E479E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479EE"/>
    <w:rPr>
      <w:sz w:val="20"/>
      <w:szCs w:val="20"/>
    </w:rPr>
  </w:style>
  <w:style w:type="character" w:styleId="Rimandonotaapidipagina">
    <w:name w:val="footnote reference"/>
    <w:basedOn w:val="Carpredefinitoparagrafo"/>
    <w:uiPriority w:val="99"/>
    <w:semiHidden/>
    <w:unhideWhenUsed/>
    <w:rsid w:val="00E479EE"/>
    <w:rPr>
      <w:vertAlign w:val="superscript"/>
    </w:rPr>
  </w:style>
  <w:style w:type="paragraph" w:styleId="Intestazione">
    <w:name w:val="header"/>
    <w:basedOn w:val="Normale"/>
    <w:link w:val="IntestazioneCarattere"/>
    <w:uiPriority w:val="99"/>
    <w:semiHidden/>
    <w:unhideWhenUsed/>
    <w:rsid w:val="00F11D9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F11D97"/>
  </w:style>
  <w:style w:type="paragraph" w:styleId="Pidipagina">
    <w:name w:val="footer"/>
    <w:basedOn w:val="Normale"/>
    <w:link w:val="PidipaginaCarattere"/>
    <w:uiPriority w:val="99"/>
    <w:unhideWhenUsed/>
    <w:rsid w:val="00F11D9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1D97"/>
  </w:style>
</w:styles>
</file>

<file path=word/webSettings.xml><?xml version="1.0" encoding="utf-8"?>
<w:webSettings xmlns:r="http://schemas.openxmlformats.org/officeDocument/2006/relationships" xmlns:w="http://schemas.openxmlformats.org/wordprocessingml/2006/main">
  <w:divs>
    <w:div w:id="483816245">
      <w:bodyDiv w:val="1"/>
      <w:marLeft w:val="0"/>
      <w:marRight w:val="0"/>
      <w:marTop w:val="0"/>
      <w:marBottom w:val="0"/>
      <w:divBdr>
        <w:top w:val="none" w:sz="0" w:space="0" w:color="auto"/>
        <w:left w:val="none" w:sz="0" w:space="0" w:color="auto"/>
        <w:bottom w:val="none" w:sz="0" w:space="0" w:color="auto"/>
        <w:right w:val="none" w:sz="0" w:space="0" w:color="auto"/>
      </w:divBdr>
    </w:div>
    <w:div w:id="1543396800">
      <w:bodyDiv w:val="1"/>
      <w:marLeft w:val="0"/>
      <w:marRight w:val="0"/>
      <w:marTop w:val="0"/>
      <w:marBottom w:val="0"/>
      <w:divBdr>
        <w:top w:val="none" w:sz="0" w:space="0" w:color="auto"/>
        <w:left w:val="none" w:sz="0" w:space="0" w:color="auto"/>
        <w:bottom w:val="none" w:sz="0" w:space="0" w:color="auto"/>
        <w:right w:val="none" w:sz="0" w:space="0" w:color="auto"/>
      </w:divBdr>
    </w:div>
    <w:div w:id="209924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9A979-7860-4EBC-86F1-5F5ABC05D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15</Pages>
  <Words>6306</Words>
  <Characters>35125</Characters>
  <Application>Microsoft Office Word</Application>
  <DocSecurity>0</DocSecurity>
  <Lines>524</Lines>
  <Paragraphs>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Trap</dc:creator>
  <cp:keywords/>
  <dc:description/>
  <cp:lastModifiedBy>Trap</cp:lastModifiedBy>
  <cp:revision>12</cp:revision>
  <dcterms:created xsi:type="dcterms:W3CDTF">2017-05-01T15:54:00Z</dcterms:created>
  <dcterms:modified xsi:type="dcterms:W3CDTF">2017-05-01T16:58:00Z</dcterms:modified>
</cp:coreProperties>
</file>