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9E3" w:rsidRDefault="000F29E3" w:rsidP="00DF3FC3">
      <w:pPr>
        <w:spacing w:after="0"/>
        <w:jc w:val="both"/>
        <w:rPr>
          <w:rFonts w:ascii="Times New Roman" w:hAnsi="Times New Roman" w:cs="Times New Roman"/>
          <w:b/>
          <w:smallCaps/>
          <w:sz w:val="28"/>
          <w:szCs w:val="24"/>
        </w:rPr>
      </w:pPr>
      <w:r>
        <w:rPr>
          <w:rFonts w:ascii="Times New Roman" w:hAnsi="Times New Roman" w:cs="Times New Roman"/>
          <w:b/>
          <w:smallCaps/>
          <w:sz w:val="28"/>
          <w:szCs w:val="24"/>
        </w:rPr>
        <w:t xml:space="preserve">L'acquisizione della prova proveniente dal </w:t>
      </w:r>
      <w:r w:rsidR="00F27913">
        <w:rPr>
          <w:rFonts w:ascii="Times New Roman" w:hAnsi="Times New Roman" w:cs="Times New Roman"/>
          <w:b/>
          <w:smallCaps/>
          <w:sz w:val="28"/>
          <w:szCs w:val="24"/>
        </w:rPr>
        <w:t xml:space="preserve">giudizio civile nel processo per reati </w:t>
      </w:r>
      <w:proofErr w:type="spellStart"/>
      <w:r w:rsidR="00F27913">
        <w:rPr>
          <w:rFonts w:ascii="Times New Roman" w:hAnsi="Times New Roman" w:cs="Times New Roman"/>
          <w:b/>
          <w:smallCaps/>
          <w:sz w:val="28"/>
          <w:szCs w:val="24"/>
        </w:rPr>
        <w:t>familiari*</w:t>
      </w:r>
      <w:proofErr w:type="spellEnd"/>
      <w:r w:rsidR="00F27913">
        <w:rPr>
          <w:rFonts w:ascii="Times New Roman" w:hAnsi="Times New Roman" w:cs="Times New Roman"/>
          <w:b/>
          <w:smallCaps/>
          <w:sz w:val="28"/>
          <w:szCs w:val="24"/>
        </w:rPr>
        <w:t xml:space="preserve">. </w:t>
      </w:r>
    </w:p>
    <w:p w:rsidR="00F27913" w:rsidRPr="00F27913" w:rsidRDefault="00F27913" w:rsidP="00DF3FC3">
      <w:pPr>
        <w:spacing w:after="0"/>
        <w:jc w:val="both"/>
        <w:rPr>
          <w:rFonts w:ascii="Times New Roman" w:hAnsi="Times New Roman" w:cs="Times New Roman"/>
          <w:i/>
          <w:sz w:val="24"/>
          <w:szCs w:val="24"/>
        </w:rPr>
      </w:pPr>
      <w:r>
        <w:rPr>
          <w:rFonts w:ascii="Times New Roman" w:hAnsi="Times New Roman" w:cs="Times New Roman"/>
          <w:b/>
          <w:sz w:val="24"/>
          <w:szCs w:val="24"/>
        </w:rPr>
        <w:t xml:space="preserve">Francesco </w:t>
      </w:r>
      <w:proofErr w:type="spellStart"/>
      <w:r>
        <w:rPr>
          <w:rFonts w:ascii="Times New Roman" w:hAnsi="Times New Roman" w:cs="Times New Roman"/>
          <w:b/>
          <w:sz w:val="24"/>
          <w:szCs w:val="24"/>
        </w:rPr>
        <w:t>Trapella</w:t>
      </w:r>
      <w:proofErr w:type="spellEnd"/>
      <w:r>
        <w:rPr>
          <w:rFonts w:ascii="Times New Roman" w:hAnsi="Times New Roman" w:cs="Times New Roman"/>
          <w:sz w:val="24"/>
          <w:szCs w:val="24"/>
        </w:rPr>
        <w:t xml:space="preserve"> - </w:t>
      </w:r>
      <w:r>
        <w:rPr>
          <w:rFonts w:ascii="Times New Roman" w:hAnsi="Times New Roman" w:cs="Times New Roman"/>
          <w:i/>
          <w:sz w:val="24"/>
          <w:szCs w:val="24"/>
        </w:rPr>
        <w:t>Assegnista di ricerca in Diritto processuale penale (Università degli Studi di Ferrara).</w:t>
      </w:r>
    </w:p>
    <w:p w:rsidR="000F29E3" w:rsidRDefault="000F29E3" w:rsidP="00DF3FC3">
      <w:pPr>
        <w:spacing w:after="0"/>
        <w:jc w:val="both"/>
        <w:rPr>
          <w:rFonts w:ascii="Times New Roman" w:hAnsi="Times New Roman" w:cs="Times New Roman"/>
          <w:b/>
          <w:sz w:val="24"/>
          <w:szCs w:val="24"/>
        </w:rPr>
      </w:pPr>
    </w:p>
    <w:p w:rsidR="00F27913" w:rsidRPr="00F27913" w:rsidRDefault="00F27913" w:rsidP="00DF3FC3">
      <w:pPr>
        <w:spacing w:after="0"/>
        <w:jc w:val="both"/>
        <w:rPr>
          <w:rFonts w:ascii="Times New Roman" w:hAnsi="Times New Roman" w:cs="Times New Roman"/>
        </w:rPr>
      </w:pPr>
      <w:r>
        <w:rPr>
          <w:rFonts w:ascii="Times New Roman" w:hAnsi="Times New Roman" w:cs="Times New Roman"/>
          <w:b/>
        </w:rPr>
        <w:t xml:space="preserve">Sommario - </w:t>
      </w:r>
      <w:r>
        <w:rPr>
          <w:rFonts w:ascii="Times New Roman" w:hAnsi="Times New Roman" w:cs="Times New Roman"/>
        </w:rPr>
        <w:t xml:space="preserve">1. Eterogeneità degli illeciti </w:t>
      </w:r>
      <w:proofErr w:type="spellStart"/>
      <w:r>
        <w:rPr>
          <w:rFonts w:ascii="Times New Roman" w:hAnsi="Times New Roman" w:cs="Times New Roman"/>
        </w:rPr>
        <w:t>endofamiliari</w:t>
      </w:r>
      <w:proofErr w:type="spellEnd"/>
      <w:r>
        <w:rPr>
          <w:rFonts w:ascii="Times New Roman" w:hAnsi="Times New Roman" w:cs="Times New Roman"/>
        </w:rPr>
        <w:t xml:space="preserve">. - 2. Dalla prova formata in Italia a quella straniera - 3. Acquisizione di verbali di prova assunti in un giudizio civile (italiano) - 4. Acquisizione della prova civile straniera. Una prima possibile soluzione: il richiamo alla l. n. 218 del 1995 ... - 5. ... Una seconda possibile soluzione: riflessioni sul rinvio pregiudiziale alla Corte di giustizia dell'Unione europea - 6. Conclusioni. L'ordine pubblico come denominatore comune nella circolazione di prove tra Stati. </w:t>
      </w:r>
    </w:p>
    <w:p w:rsidR="00F27913" w:rsidRPr="00F27913" w:rsidRDefault="00F27913" w:rsidP="00DF3FC3">
      <w:pPr>
        <w:spacing w:after="0"/>
        <w:jc w:val="both"/>
        <w:rPr>
          <w:rFonts w:ascii="Times New Roman" w:hAnsi="Times New Roman" w:cs="Times New Roman"/>
        </w:rPr>
      </w:pPr>
    </w:p>
    <w:p w:rsidR="00F27913" w:rsidRPr="00F27913" w:rsidRDefault="00FF0240" w:rsidP="00DF3FC3">
      <w:pPr>
        <w:spacing w:after="0"/>
        <w:jc w:val="both"/>
        <w:rPr>
          <w:rFonts w:ascii="Times New Roman" w:hAnsi="Times New Roman" w:cs="Times New Roman"/>
          <w:b/>
          <w:smallCaps/>
          <w:sz w:val="24"/>
          <w:szCs w:val="24"/>
        </w:rPr>
      </w:pPr>
      <w:r>
        <w:rPr>
          <w:rFonts w:ascii="Times New Roman" w:hAnsi="Times New Roman" w:cs="Times New Roman"/>
          <w:b/>
          <w:sz w:val="24"/>
          <w:szCs w:val="24"/>
        </w:rPr>
        <w:t xml:space="preserve">1. </w:t>
      </w:r>
      <w:r w:rsidR="00F27913" w:rsidRPr="00F27913">
        <w:rPr>
          <w:rFonts w:ascii="Times New Roman" w:hAnsi="Times New Roman" w:cs="Times New Roman"/>
          <w:b/>
          <w:smallCaps/>
          <w:sz w:val="24"/>
          <w:szCs w:val="24"/>
        </w:rPr>
        <w:t xml:space="preserve">Eterogeneità degli illeciti </w:t>
      </w:r>
      <w:proofErr w:type="spellStart"/>
      <w:r w:rsidR="00F27913" w:rsidRPr="00F27913">
        <w:rPr>
          <w:rFonts w:ascii="Times New Roman" w:hAnsi="Times New Roman" w:cs="Times New Roman"/>
          <w:b/>
          <w:smallCaps/>
          <w:sz w:val="24"/>
          <w:szCs w:val="24"/>
        </w:rPr>
        <w:t>endofamiliari</w:t>
      </w:r>
      <w:proofErr w:type="spellEnd"/>
    </w:p>
    <w:p w:rsidR="00F33B75" w:rsidRDefault="00FF0240" w:rsidP="00DF3FC3">
      <w:pPr>
        <w:spacing w:after="0"/>
        <w:jc w:val="both"/>
        <w:rPr>
          <w:rFonts w:ascii="Times New Roman" w:hAnsi="Times New Roman" w:cs="Times New Roman"/>
          <w:sz w:val="24"/>
          <w:szCs w:val="24"/>
        </w:rPr>
      </w:pPr>
      <w:r>
        <w:rPr>
          <w:rFonts w:ascii="Times New Roman" w:hAnsi="Times New Roman" w:cs="Times New Roman"/>
          <w:sz w:val="24"/>
          <w:szCs w:val="24"/>
        </w:rPr>
        <w:t xml:space="preserve">Quella dei reati </w:t>
      </w:r>
      <w:proofErr w:type="spellStart"/>
      <w:r>
        <w:rPr>
          <w:rFonts w:ascii="Times New Roman" w:hAnsi="Times New Roman" w:cs="Times New Roman"/>
          <w:sz w:val="24"/>
          <w:szCs w:val="24"/>
        </w:rPr>
        <w:t>endofamiliari</w:t>
      </w:r>
      <w:proofErr w:type="spellEnd"/>
      <w:r>
        <w:rPr>
          <w:rFonts w:ascii="Times New Roman" w:hAnsi="Times New Roman" w:cs="Times New Roman"/>
          <w:sz w:val="24"/>
          <w:szCs w:val="24"/>
        </w:rPr>
        <w:t xml:space="preserve"> è una categoria composita, riferibile a fattispecie che, di comune, </w:t>
      </w:r>
      <w:r w:rsidR="007F15E4">
        <w:rPr>
          <w:rFonts w:ascii="Times New Roman" w:hAnsi="Times New Roman" w:cs="Times New Roman"/>
          <w:sz w:val="24"/>
          <w:szCs w:val="24"/>
        </w:rPr>
        <w:t xml:space="preserve">posseggono il contatto con l’ambiente domestico, rinviando, sia pure magari in via incidentale, a tematiche che tradizionalmente vengono rimesse all’accertamento del giudice civile. </w:t>
      </w:r>
    </w:p>
    <w:p w:rsidR="00124EB8" w:rsidRDefault="007F15E4" w:rsidP="00124EB8">
      <w:pPr>
        <w:spacing w:after="0"/>
        <w:jc w:val="both"/>
        <w:rPr>
          <w:rFonts w:ascii="Times New Roman" w:hAnsi="Times New Roman" w:cs="Times New Roman"/>
          <w:sz w:val="24"/>
          <w:szCs w:val="24"/>
        </w:rPr>
      </w:pPr>
      <w:r>
        <w:rPr>
          <w:rFonts w:ascii="Times New Roman" w:hAnsi="Times New Roman" w:cs="Times New Roman"/>
          <w:sz w:val="24"/>
          <w:szCs w:val="24"/>
        </w:rPr>
        <w:tab/>
        <w:t xml:space="preserve">Si pensi alle somiglianze tra gli ordini di protezione della vittima, previsti dagli artt. 342-bis e 342-ter c.c., e le cautele penali disciplinate dagli artt. 282-bis e 282-ter </w:t>
      </w:r>
      <w:proofErr w:type="spellStart"/>
      <w:r>
        <w:rPr>
          <w:rFonts w:ascii="Times New Roman" w:hAnsi="Times New Roman" w:cs="Times New Roman"/>
          <w:sz w:val="24"/>
          <w:szCs w:val="24"/>
        </w:rPr>
        <w:t>c.p.p.</w:t>
      </w:r>
      <w:proofErr w:type="spellEnd"/>
      <w:r w:rsidR="00124EB8">
        <w:rPr>
          <w:rStyle w:val="Rimandonotaapidipagina"/>
          <w:rFonts w:ascii="Times New Roman" w:hAnsi="Times New Roman" w:cs="Times New Roman"/>
          <w:sz w:val="24"/>
          <w:szCs w:val="24"/>
        </w:rPr>
        <w:footnoteReference w:id="1"/>
      </w:r>
      <w:r>
        <w:rPr>
          <w:rFonts w:ascii="Times New Roman" w:hAnsi="Times New Roman" w:cs="Times New Roman"/>
          <w:sz w:val="24"/>
          <w:szCs w:val="24"/>
        </w:rPr>
        <w:t xml:space="preserve">, tutte misure nate </w:t>
      </w:r>
      <w:r w:rsidR="00243D34">
        <w:rPr>
          <w:rFonts w:ascii="Times New Roman" w:hAnsi="Times New Roman" w:cs="Times New Roman"/>
          <w:sz w:val="24"/>
          <w:szCs w:val="24"/>
        </w:rPr>
        <w:t>tra il</w:t>
      </w:r>
      <w:r>
        <w:rPr>
          <w:rFonts w:ascii="Times New Roman" w:hAnsi="Times New Roman" w:cs="Times New Roman"/>
          <w:sz w:val="24"/>
          <w:szCs w:val="24"/>
        </w:rPr>
        <w:t xml:space="preserve"> 2001</w:t>
      </w:r>
      <w:r w:rsidR="00243D34">
        <w:rPr>
          <w:rFonts w:ascii="Times New Roman" w:hAnsi="Times New Roman" w:cs="Times New Roman"/>
          <w:sz w:val="24"/>
          <w:szCs w:val="24"/>
        </w:rPr>
        <w:t>,</w:t>
      </w:r>
      <w:r>
        <w:rPr>
          <w:rFonts w:ascii="Times New Roman" w:hAnsi="Times New Roman" w:cs="Times New Roman"/>
          <w:sz w:val="24"/>
          <w:szCs w:val="24"/>
        </w:rPr>
        <w:t xml:space="preserve"> con la legge 4 marzo, n. 154</w:t>
      </w:r>
      <w:r w:rsidR="00243D34">
        <w:rPr>
          <w:rFonts w:ascii="Times New Roman" w:hAnsi="Times New Roman" w:cs="Times New Roman"/>
          <w:sz w:val="24"/>
          <w:szCs w:val="24"/>
        </w:rPr>
        <w:t xml:space="preserve">, e il 2009, con il d.l. 23 febbraio, n. 9, dai più conosciuto come “legge sullo </w:t>
      </w:r>
      <w:proofErr w:type="spellStart"/>
      <w:r w:rsidR="00243D34">
        <w:rPr>
          <w:rFonts w:ascii="Times New Roman" w:hAnsi="Times New Roman" w:cs="Times New Roman"/>
          <w:i/>
          <w:sz w:val="24"/>
          <w:szCs w:val="24"/>
        </w:rPr>
        <w:t>stalking</w:t>
      </w:r>
      <w:proofErr w:type="spellEnd"/>
      <w:r w:rsidR="00243D34">
        <w:rPr>
          <w:rFonts w:ascii="Times New Roman" w:hAnsi="Times New Roman" w:cs="Times New Roman"/>
          <w:sz w:val="24"/>
          <w:szCs w:val="24"/>
        </w:rPr>
        <w:t>”</w:t>
      </w:r>
      <w:r w:rsidR="00124EB8">
        <w:rPr>
          <w:rStyle w:val="Rimandonotaapidipagina"/>
          <w:rFonts w:ascii="Times New Roman" w:hAnsi="Times New Roman" w:cs="Times New Roman"/>
          <w:sz w:val="24"/>
          <w:szCs w:val="24"/>
        </w:rPr>
        <w:footnoteReference w:id="2"/>
      </w:r>
      <w:r>
        <w:rPr>
          <w:rFonts w:ascii="Times New Roman" w:hAnsi="Times New Roman" w:cs="Times New Roman"/>
          <w:sz w:val="24"/>
          <w:szCs w:val="24"/>
        </w:rPr>
        <w:t>. Si guardi, ancora, alle previsioni di coordinamento tra le autorità del procedimento penale e del giudizio civile nella tutela del minore, vittima di abusi sessuali</w:t>
      </w:r>
      <w:r w:rsidR="00124EB8">
        <w:rPr>
          <w:rStyle w:val="Rimandonotaapidipagina"/>
          <w:rFonts w:ascii="Times New Roman" w:hAnsi="Times New Roman" w:cs="Times New Roman"/>
          <w:sz w:val="24"/>
          <w:szCs w:val="24"/>
        </w:rPr>
        <w:footnoteReference w:id="3"/>
      </w:r>
      <w:r>
        <w:rPr>
          <w:rFonts w:ascii="Times New Roman" w:hAnsi="Times New Roman" w:cs="Times New Roman"/>
          <w:sz w:val="24"/>
          <w:szCs w:val="24"/>
        </w:rPr>
        <w:t xml:space="preserve">. </w:t>
      </w:r>
      <w:r w:rsidR="00F33FC0">
        <w:rPr>
          <w:rFonts w:ascii="Times New Roman" w:hAnsi="Times New Roman" w:cs="Times New Roman"/>
          <w:sz w:val="24"/>
          <w:szCs w:val="24"/>
        </w:rPr>
        <w:t xml:space="preserve">Si ricordi, infine, </w:t>
      </w:r>
      <w:r w:rsidR="00124EB8">
        <w:rPr>
          <w:rFonts w:ascii="Times New Roman" w:hAnsi="Times New Roman" w:cs="Times New Roman"/>
          <w:sz w:val="24"/>
          <w:szCs w:val="24"/>
        </w:rPr>
        <w:t xml:space="preserve">la natura trasversale del concetto di “misura di protezione”, </w:t>
      </w:r>
      <w:r w:rsidR="001D6E93">
        <w:rPr>
          <w:rFonts w:ascii="Times New Roman" w:hAnsi="Times New Roman" w:cs="Times New Roman"/>
          <w:sz w:val="24"/>
          <w:szCs w:val="24"/>
        </w:rPr>
        <w:t>impiegato</w:t>
      </w:r>
      <w:r w:rsidR="00124EB8">
        <w:rPr>
          <w:rFonts w:ascii="Times New Roman" w:hAnsi="Times New Roman" w:cs="Times New Roman"/>
          <w:sz w:val="24"/>
          <w:szCs w:val="24"/>
        </w:rPr>
        <w:t xml:space="preserve"> a livello </w:t>
      </w:r>
      <w:proofErr w:type="spellStart"/>
      <w:r w:rsidR="00124EB8">
        <w:rPr>
          <w:rFonts w:ascii="Times New Roman" w:hAnsi="Times New Roman" w:cs="Times New Roman"/>
          <w:sz w:val="24"/>
          <w:szCs w:val="24"/>
        </w:rPr>
        <w:t>eurounitario</w:t>
      </w:r>
      <w:proofErr w:type="spellEnd"/>
      <w:r w:rsidR="00124EB8">
        <w:rPr>
          <w:rFonts w:ascii="Times New Roman" w:hAnsi="Times New Roman" w:cs="Times New Roman"/>
          <w:sz w:val="24"/>
          <w:szCs w:val="24"/>
        </w:rPr>
        <w:t xml:space="preserve">, dall’ottavo considerando del Regolamento del 12 giugno 2013, n. </w:t>
      </w:r>
      <w:r w:rsidR="001D6E93">
        <w:rPr>
          <w:rFonts w:ascii="Times New Roman" w:hAnsi="Times New Roman" w:cs="Times New Roman"/>
          <w:sz w:val="24"/>
          <w:szCs w:val="24"/>
        </w:rPr>
        <w:t>2013/606/UE</w:t>
      </w:r>
      <w:r w:rsidR="00124EB8">
        <w:rPr>
          <w:rFonts w:ascii="Times New Roman" w:hAnsi="Times New Roman" w:cs="Times New Roman"/>
          <w:sz w:val="24"/>
          <w:szCs w:val="24"/>
        </w:rPr>
        <w:t xml:space="preserve"> relativo al riconoscimento recipr</w:t>
      </w:r>
      <w:r w:rsidR="00F33FC0">
        <w:rPr>
          <w:rFonts w:ascii="Times New Roman" w:hAnsi="Times New Roman" w:cs="Times New Roman"/>
          <w:sz w:val="24"/>
          <w:szCs w:val="24"/>
        </w:rPr>
        <w:t>oco dei provvedimenti in parola</w:t>
      </w:r>
      <w:r w:rsidR="00124EB8">
        <w:rPr>
          <w:rFonts w:ascii="Times New Roman" w:hAnsi="Times New Roman" w:cs="Times New Roman"/>
          <w:sz w:val="24"/>
          <w:szCs w:val="24"/>
        </w:rPr>
        <w:t xml:space="preserve"> in materia civile, e </w:t>
      </w:r>
      <w:r w:rsidR="001D6E93">
        <w:rPr>
          <w:rFonts w:ascii="Times New Roman" w:hAnsi="Times New Roman" w:cs="Times New Roman"/>
          <w:sz w:val="24"/>
          <w:szCs w:val="24"/>
        </w:rPr>
        <w:t xml:space="preserve">già </w:t>
      </w:r>
      <w:r w:rsidR="00124EB8">
        <w:rPr>
          <w:rFonts w:ascii="Times New Roman" w:hAnsi="Times New Roman" w:cs="Times New Roman"/>
          <w:sz w:val="24"/>
          <w:szCs w:val="24"/>
        </w:rPr>
        <w:t xml:space="preserve">richiamato, in ambito penale, dalle </w:t>
      </w:r>
      <w:r w:rsidR="001D6E93">
        <w:rPr>
          <w:rFonts w:ascii="Times New Roman" w:hAnsi="Times New Roman" w:cs="Times New Roman"/>
          <w:sz w:val="24"/>
          <w:szCs w:val="24"/>
        </w:rPr>
        <w:t>D</w:t>
      </w:r>
      <w:r w:rsidR="00124EB8">
        <w:rPr>
          <w:rFonts w:ascii="Times New Roman" w:hAnsi="Times New Roman" w:cs="Times New Roman"/>
          <w:sz w:val="24"/>
          <w:szCs w:val="24"/>
        </w:rPr>
        <w:t>irettive 2011/99/UE e 2012/29/UE</w:t>
      </w:r>
      <w:r w:rsidR="00124EB8">
        <w:rPr>
          <w:rStyle w:val="Rimandonotaapidipagina"/>
          <w:rFonts w:ascii="Times New Roman" w:hAnsi="Times New Roman" w:cs="Times New Roman"/>
          <w:sz w:val="24"/>
          <w:szCs w:val="24"/>
        </w:rPr>
        <w:footnoteReference w:id="4"/>
      </w:r>
      <w:r w:rsidR="00124EB8">
        <w:rPr>
          <w:rFonts w:ascii="Times New Roman" w:hAnsi="Times New Roman" w:cs="Times New Roman"/>
          <w:sz w:val="24"/>
          <w:szCs w:val="24"/>
        </w:rPr>
        <w:t xml:space="preserve">. Con un ultimo esempio, poi, è noto che il giudice civile può disporre restrizioni a carico del genitore </w:t>
      </w:r>
      <w:r w:rsidR="00124EB8">
        <w:rPr>
          <w:rFonts w:ascii="Times New Roman" w:hAnsi="Times New Roman" w:cs="Times New Roman"/>
          <w:sz w:val="24"/>
          <w:szCs w:val="24"/>
        </w:rPr>
        <w:lastRenderedPageBreak/>
        <w:t xml:space="preserve">che </w:t>
      </w:r>
      <w:r w:rsidR="00A31B72" w:rsidRPr="00A31B72">
        <w:rPr>
          <w:rFonts w:ascii="Times New Roman" w:hAnsi="Times New Roman" w:cs="Times New Roman"/>
          <w:sz w:val="24"/>
          <w:szCs w:val="24"/>
        </w:rPr>
        <w:t>sevizia</w:t>
      </w:r>
      <w:r w:rsidR="00124EB8">
        <w:rPr>
          <w:rFonts w:ascii="Times New Roman" w:hAnsi="Times New Roman" w:cs="Times New Roman"/>
          <w:sz w:val="24"/>
          <w:szCs w:val="24"/>
        </w:rPr>
        <w:t xml:space="preserve"> il figlio minorenne, e in un caso del genere, «</w:t>
      </w:r>
      <w:r w:rsidR="00124EB8" w:rsidRPr="00EE0067">
        <w:rPr>
          <w:rFonts w:ascii="Times New Roman" w:hAnsi="Times New Roman" w:cs="Times New Roman"/>
          <w:sz w:val="24"/>
          <w:szCs w:val="24"/>
        </w:rPr>
        <w:t>per quanto attiene alla nozione di "maltrattamento", la legge non ne chiarisce il significato, pertanto la locuzione verrà interpretata secondo i principi del diritto penale</w:t>
      </w:r>
      <w:r w:rsidR="00124EB8">
        <w:rPr>
          <w:rFonts w:ascii="Times New Roman" w:hAnsi="Times New Roman" w:cs="Times New Roman"/>
          <w:sz w:val="24"/>
          <w:szCs w:val="24"/>
        </w:rPr>
        <w:t>»</w:t>
      </w:r>
      <w:r w:rsidR="00124EB8">
        <w:rPr>
          <w:rStyle w:val="Rimandonotaapidipagina"/>
          <w:rFonts w:ascii="Times New Roman" w:hAnsi="Times New Roman" w:cs="Times New Roman"/>
          <w:sz w:val="24"/>
          <w:szCs w:val="24"/>
        </w:rPr>
        <w:footnoteReference w:id="5"/>
      </w:r>
      <w:r w:rsidR="00124EB8">
        <w:rPr>
          <w:rFonts w:ascii="Times New Roman" w:hAnsi="Times New Roman" w:cs="Times New Roman"/>
          <w:sz w:val="24"/>
          <w:szCs w:val="24"/>
        </w:rPr>
        <w:t>.</w:t>
      </w:r>
    </w:p>
    <w:p w:rsidR="00124EB8" w:rsidRDefault="00124EB8" w:rsidP="00124EB8">
      <w:pPr>
        <w:spacing w:after="0"/>
        <w:jc w:val="both"/>
        <w:rPr>
          <w:rFonts w:ascii="Times New Roman" w:hAnsi="Times New Roman" w:cs="Times New Roman"/>
          <w:sz w:val="24"/>
          <w:szCs w:val="24"/>
        </w:rPr>
      </w:pPr>
      <w:r>
        <w:rPr>
          <w:rFonts w:ascii="Times New Roman" w:hAnsi="Times New Roman" w:cs="Times New Roman"/>
          <w:sz w:val="24"/>
          <w:szCs w:val="24"/>
        </w:rPr>
        <w:tab/>
        <w:t xml:space="preserve">Nei reati </w:t>
      </w:r>
      <w:proofErr w:type="spellStart"/>
      <w:r>
        <w:rPr>
          <w:rFonts w:ascii="Times New Roman" w:hAnsi="Times New Roman" w:cs="Times New Roman"/>
          <w:sz w:val="24"/>
          <w:szCs w:val="24"/>
        </w:rPr>
        <w:t>endofamiliari</w:t>
      </w:r>
      <w:proofErr w:type="spellEnd"/>
      <w:r>
        <w:rPr>
          <w:rFonts w:ascii="Times New Roman" w:hAnsi="Times New Roman" w:cs="Times New Roman"/>
          <w:sz w:val="24"/>
          <w:szCs w:val="24"/>
        </w:rPr>
        <w:t xml:space="preserve">, occorre </w:t>
      </w:r>
      <w:r w:rsidR="005D30BB">
        <w:rPr>
          <w:rFonts w:ascii="Times New Roman" w:hAnsi="Times New Roman" w:cs="Times New Roman"/>
          <w:sz w:val="24"/>
          <w:szCs w:val="24"/>
        </w:rPr>
        <w:t>considerare la «</w:t>
      </w:r>
      <w:r w:rsidRPr="00EE0067">
        <w:rPr>
          <w:rFonts w:ascii="Times New Roman" w:hAnsi="Times New Roman" w:cs="Times New Roman"/>
          <w:sz w:val="24"/>
          <w:szCs w:val="24"/>
        </w:rPr>
        <w:t>comunanza di vita intima</w:t>
      </w:r>
      <w:r w:rsidR="005D30BB">
        <w:rPr>
          <w:rFonts w:ascii="Times New Roman" w:hAnsi="Times New Roman" w:cs="Times New Roman"/>
          <w:sz w:val="24"/>
          <w:szCs w:val="24"/>
        </w:rPr>
        <w:t>» che spesso unisce l’agente alla vittima</w:t>
      </w:r>
      <w:r w:rsidRPr="00EE0067">
        <w:rPr>
          <w:rFonts w:ascii="Times New Roman" w:hAnsi="Times New Roman" w:cs="Times New Roman"/>
          <w:sz w:val="24"/>
          <w:szCs w:val="24"/>
        </w:rPr>
        <w:t xml:space="preserve">, </w:t>
      </w:r>
      <w:r w:rsidR="005D30BB">
        <w:rPr>
          <w:rFonts w:ascii="Times New Roman" w:hAnsi="Times New Roman" w:cs="Times New Roman"/>
          <w:sz w:val="24"/>
          <w:szCs w:val="24"/>
        </w:rPr>
        <w:t>trattandosi di «</w:t>
      </w:r>
      <w:r w:rsidRPr="00EE0067">
        <w:rPr>
          <w:rFonts w:ascii="Times New Roman" w:hAnsi="Times New Roman" w:cs="Times New Roman"/>
          <w:sz w:val="24"/>
          <w:szCs w:val="24"/>
        </w:rPr>
        <w:t>una ragnatela di relazioni reciproche intense e coinvolgenti, un rapporto duraturo nel tempo e tendenzialmente stabile; ed è proprio a causa di tale intimità che i rapporti possono degenerare, per la mutevolezza delle emozioni e dei sentimenti, da iniziali stati di crisi del rapporto familiare in un vero e proprio sistema di vita di relazione abitualmente dolorosa ed avvilente</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6"/>
      </w:r>
      <w:r>
        <w:rPr>
          <w:rFonts w:ascii="Times New Roman" w:hAnsi="Times New Roman" w:cs="Times New Roman"/>
          <w:sz w:val="24"/>
          <w:szCs w:val="24"/>
        </w:rPr>
        <w:t xml:space="preserve">. </w:t>
      </w:r>
      <w:r w:rsidR="005D30BB">
        <w:rPr>
          <w:rFonts w:ascii="Times New Roman" w:hAnsi="Times New Roman" w:cs="Times New Roman"/>
          <w:sz w:val="24"/>
          <w:szCs w:val="24"/>
        </w:rPr>
        <w:t>Diven</w:t>
      </w:r>
      <w:r w:rsidR="00F33FC0">
        <w:rPr>
          <w:rFonts w:ascii="Times New Roman" w:hAnsi="Times New Roman" w:cs="Times New Roman"/>
          <w:sz w:val="24"/>
          <w:szCs w:val="24"/>
        </w:rPr>
        <w:t>ta, quindi, essenziale</w:t>
      </w:r>
      <w:r w:rsidR="005D30BB">
        <w:rPr>
          <w:rFonts w:ascii="Times New Roman" w:hAnsi="Times New Roman" w:cs="Times New Roman"/>
          <w:sz w:val="24"/>
          <w:szCs w:val="24"/>
        </w:rPr>
        <w:t xml:space="preserve"> </w:t>
      </w:r>
      <w:r w:rsidR="00F33FC0">
        <w:rPr>
          <w:rFonts w:ascii="Times New Roman" w:hAnsi="Times New Roman" w:cs="Times New Roman"/>
          <w:sz w:val="24"/>
          <w:szCs w:val="24"/>
        </w:rPr>
        <w:t>pensare</w:t>
      </w:r>
      <w:r w:rsidR="005D30BB">
        <w:rPr>
          <w:rFonts w:ascii="Times New Roman" w:hAnsi="Times New Roman" w:cs="Times New Roman"/>
          <w:sz w:val="24"/>
          <w:szCs w:val="24"/>
        </w:rPr>
        <w:t xml:space="preserve"> </w:t>
      </w:r>
      <w:r w:rsidR="00F33FC0">
        <w:rPr>
          <w:rFonts w:ascii="Times New Roman" w:hAnsi="Times New Roman" w:cs="Times New Roman"/>
          <w:sz w:val="24"/>
          <w:szCs w:val="24"/>
        </w:rPr>
        <w:t>al</w:t>
      </w:r>
      <w:r w:rsidR="005D30BB">
        <w:rPr>
          <w:rFonts w:ascii="Times New Roman" w:hAnsi="Times New Roman" w:cs="Times New Roman"/>
          <w:sz w:val="24"/>
          <w:szCs w:val="24"/>
        </w:rPr>
        <w:t>la famiglia, predisponendo meccanismi idonei a soddisfare gli interessi sottesi all’esigenza di tutela – civile o penale che sia</w:t>
      </w:r>
      <w:r w:rsidR="005D30BB">
        <w:rPr>
          <w:rStyle w:val="Rimandonotaapidipagina"/>
          <w:rFonts w:ascii="Times New Roman" w:hAnsi="Times New Roman" w:cs="Times New Roman"/>
          <w:sz w:val="24"/>
          <w:szCs w:val="24"/>
        </w:rPr>
        <w:footnoteReference w:id="7"/>
      </w:r>
      <w:r w:rsidR="005D30BB">
        <w:rPr>
          <w:rFonts w:ascii="Times New Roman" w:hAnsi="Times New Roman" w:cs="Times New Roman"/>
          <w:sz w:val="24"/>
          <w:szCs w:val="24"/>
        </w:rPr>
        <w:t xml:space="preserve"> – prevista dall’ordinamento.</w:t>
      </w:r>
    </w:p>
    <w:p w:rsidR="005D30BB" w:rsidRDefault="005D30BB" w:rsidP="00124EB8">
      <w:pPr>
        <w:spacing w:after="0"/>
        <w:jc w:val="both"/>
        <w:rPr>
          <w:rFonts w:ascii="Times New Roman" w:hAnsi="Times New Roman" w:cs="Times New Roman"/>
          <w:sz w:val="24"/>
          <w:szCs w:val="24"/>
        </w:rPr>
      </w:pPr>
      <w:r>
        <w:rPr>
          <w:rFonts w:ascii="Times New Roman" w:hAnsi="Times New Roman" w:cs="Times New Roman"/>
          <w:sz w:val="24"/>
          <w:szCs w:val="24"/>
        </w:rPr>
        <w:tab/>
        <w:t xml:space="preserve">Ecco, allora, che in un processo penale per maltrattamenti può insorgere </w:t>
      </w:r>
      <w:r w:rsidR="00F33FC0">
        <w:rPr>
          <w:rFonts w:ascii="Times New Roman" w:hAnsi="Times New Roman" w:cs="Times New Roman"/>
          <w:sz w:val="24"/>
          <w:szCs w:val="24"/>
        </w:rPr>
        <w:t>il bisogno</w:t>
      </w:r>
      <w:r>
        <w:rPr>
          <w:rFonts w:ascii="Times New Roman" w:hAnsi="Times New Roman" w:cs="Times New Roman"/>
          <w:sz w:val="24"/>
          <w:szCs w:val="24"/>
        </w:rPr>
        <w:t xml:space="preserve"> di acquisire la documentazione prodotta dalle parti e la successiva decisione resa in sede civile, nel giudizio aperto al fine di arginare il pericolo di reiterazione di condotte violente</w:t>
      </w:r>
      <w:r w:rsidR="00F33FC0">
        <w:rPr>
          <w:rFonts w:ascii="Times New Roman" w:hAnsi="Times New Roman" w:cs="Times New Roman"/>
          <w:sz w:val="24"/>
          <w:szCs w:val="24"/>
        </w:rPr>
        <w:t xml:space="preserve"> tra familiari</w:t>
      </w:r>
      <w:r>
        <w:rPr>
          <w:rStyle w:val="Rimandonotaapidipagina"/>
          <w:rFonts w:ascii="Times New Roman" w:hAnsi="Times New Roman" w:cs="Times New Roman"/>
          <w:sz w:val="24"/>
          <w:szCs w:val="24"/>
        </w:rPr>
        <w:footnoteReference w:id="8"/>
      </w:r>
      <w:r>
        <w:rPr>
          <w:rFonts w:ascii="Times New Roman" w:hAnsi="Times New Roman" w:cs="Times New Roman"/>
          <w:sz w:val="24"/>
          <w:szCs w:val="24"/>
        </w:rPr>
        <w:t>; ugualmente, in un caso di abbandono di minore all’estero, se praticato dal genitore verso il figlio minorenne, può servire considerare quanto esibito al giudicante civile nella vertenza sull’affidamento del giovane, così da apprezzare le dichiarazioni degli interessati e, di lì, magari l’attaccamento che singola</w:t>
      </w:r>
      <w:r w:rsidR="00F33FC0">
        <w:rPr>
          <w:rFonts w:ascii="Times New Roman" w:hAnsi="Times New Roman" w:cs="Times New Roman"/>
          <w:sz w:val="24"/>
          <w:szCs w:val="24"/>
        </w:rPr>
        <w:t>rmente padre e madre manifesta</w:t>
      </w:r>
      <w:r>
        <w:rPr>
          <w:rFonts w:ascii="Times New Roman" w:hAnsi="Times New Roman" w:cs="Times New Roman"/>
          <w:sz w:val="24"/>
          <w:szCs w:val="24"/>
        </w:rPr>
        <w:t>no verso il ragazzo quale circostanza decisiva ai fini della prova dell’elemento soggettivo</w:t>
      </w:r>
      <w:r>
        <w:rPr>
          <w:rStyle w:val="Rimandonotaapidipagina"/>
          <w:rFonts w:ascii="Times New Roman" w:hAnsi="Times New Roman" w:cs="Times New Roman"/>
          <w:sz w:val="24"/>
          <w:szCs w:val="24"/>
        </w:rPr>
        <w:footnoteReference w:id="9"/>
      </w:r>
      <w:r>
        <w:rPr>
          <w:rFonts w:ascii="Times New Roman" w:hAnsi="Times New Roman" w:cs="Times New Roman"/>
          <w:sz w:val="24"/>
          <w:szCs w:val="24"/>
        </w:rPr>
        <w:t xml:space="preserve">. </w:t>
      </w:r>
    </w:p>
    <w:p w:rsidR="00124EB8" w:rsidRPr="00FF0240" w:rsidRDefault="005D30BB" w:rsidP="00124EB8">
      <w:pPr>
        <w:spacing w:after="0"/>
        <w:jc w:val="both"/>
        <w:rPr>
          <w:rFonts w:ascii="Times New Roman" w:hAnsi="Times New Roman" w:cs="Times New Roman"/>
          <w:sz w:val="24"/>
          <w:szCs w:val="24"/>
        </w:rPr>
      </w:pPr>
      <w:r>
        <w:rPr>
          <w:rFonts w:ascii="Times New Roman" w:hAnsi="Times New Roman" w:cs="Times New Roman"/>
          <w:sz w:val="24"/>
          <w:szCs w:val="24"/>
        </w:rPr>
        <w:tab/>
        <w:t>Va, dunque, affrontato il problema dell’ingresso</w:t>
      </w:r>
      <w:r w:rsidR="00CC02A4">
        <w:rPr>
          <w:rFonts w:ascii="Times New Roman" w:hAnsi="Times New Roman" w:cs="Times New Roman"/>
          <w:sz w:val="24"/>
          <w:szCs w:val="24"/>
        </w:rPr>
        <w:t>,</w:t>
      </w:r>
      <w:r>
        <w:rPr>
          <w:rFonts w:ascii="Times New Roman" w:hAnsi="Times New Roman" w:cs="Times New Roman"/>
          <w:sz w:val="24"/>
          <w:szCs w:val="24"/>
        </w:rPr>
        <w:t xml:space="preserve"> nei processi penali per reati </w:t>
      </w:r>
      <w:proofErr w:type="spellStart"/>
      <w:r>
        <w:rPr>
          <w:rFonts w:ascii="Times New Roman" w:hAnsi="Times New Roman" w:cs="Times New Roman"/>
          <w:sz w:val="24"/>
          <w:szCs w:val="24"/>
        </w:rPr>
        <w:t>endofamiliari</w:t>
      </w:r>
      <w:proofErr w:type="spellEnd"/>
      <w:r w:rsidR="00CC02A4">
        <w:rPr>
          <w:rFonts w:ascii="Times New Roman" w:hAnsi="Times New Roman" w:cs="Times New Roman"/>
          <w:sz w:val="24"/>
          <w:szCs w:val="24"/>
        </w:rPr>
        <w:t>,</w:t>
      </w:r>
      <w:r>
        <w:rPr>
          <w:rFonts w:ascii="Times New Roman" w:hAnsi="Times New Roman" w:cs="Times New Roman"/>
          <w:sz w:val="24"/>
          <w:szCs w:val="24"/>
        </w:rPr>
        <w:t xml:space="preserve"> di prove che giungono dal rito civile.</w:t>
      </w:r>
    </w:p>
    <w:p w:rsidR="00124EB8" w:rsidRDefault="00124EB8" w:rsidP="00DF3FC3">
      <w:pPr>
        <w:spacing w:after="0"/>
        <w:jc w:val="both"/>
        <w:rPr>
          <w:rFonts w:ascii="Times New Roman" w:hAnsi="Times New Roman" w:cs="Times New Roman"/>
          <w:sz w:val="24"/>
          <w:szCs w:val="24"/>
        </w:rPr>
      </w:pPr>
    </w:p>
    <w:p w:rsidR="00F27913" w:rsidRPr="00F27913" w:rsidRDefault="001D6E93" w:rsidP="00DF3FC3">
      <w:pPr>
        <w:spacing w:after="0"/>
        <w:jc w:val="both"/>
        <w:rPr>
          <w:rFonts w:ascii="Times New Roman" w:hAnsi="Times New Roman" w:cs="Times New Roman"/>
          <w:smallCaps/>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w:t>
      </w:r>
      <w:r w:rsidR="00F27913" w:rsidRPr="00F27913">
        <w:rPr>
          <w:rFonts w:ascii="Times New Roman" w:hAnsi="Times New Roman" w:cs="Times New Roman"/>
          <w:b/>
          <w:smallCaps/>
          <w:sz w:val="24"/>
          <w:szCs w:val="24"/>
        </w:rPr>
        <w:t>Dalla prova formata in Italia a quella straniera</w:t>
      </w:r>
    </w:p>
    <w:p w:rsidR="001D6E93" w:rsidRDefault="00F27913" w:rsidP="00DF3FC3">
      <w:pPr>
        <w:spacing w:after="0"/>
        <w:jc w:val="both"/>
        <w:rPr>
          <w:rFonts w:ascii="Times New Roman" w:hAnsi="Times New Roman" w:cs="Times New Roman"/>
          <w:sz w:val="24"/>
          <w:szCs w:val="24"/>
        </w:rPr>
      </w:pPr>
      <w:r>
        <w:rPr>
          <w:rFonts w:ascii="Times New Roman" w:hAnsi="Times New Roman" w:cs="Times New Roman"/>
          <w:sz w:val="24"/>
          <w:szCs w:val="24"/>
        </w:rPr>
        <w:t>P</w:t>
      </w:r>
      <w:r w:rsidR="001D6E93">
        <w:rPr>
          <w:rFonts w:ascii="Times New Roman" w:hAnsi="Times New Roman" w:cs="Times New Roman"/>
          <w:sz w:val="24"/>
          <w:szCs w:val="24"/>
        </w:rPr>
        <w:t xml:space="preserve">reso atto della sovrapposizione, nella materia dell'illecito </w:t>
      </w:r>
      <w:proofErr w:type="spellStart"/>
      <w:r w:rsidR="001D6E93">
        <w:rPr>
          <w:rFonts w:ascii="Times New Roman" w:hAnsi="Times New Roman" w:cs="Times New Roman"/>
          <w:sz w:val="24"/>
          <w:szCs w:val="24"/>
        </w:rPr>
        <w:t>endofamiliare</w:t>
      </w:r>
      <w:proofErr w:type="spellEnd"/>
      <w:r w:rsidR="001D6E93">
        <w:rPr>
          <w:rFonts w:ascii="Times New Roman" w:hAnsi="Times New Roman" w:cs="Times New Roman"/>
          <w:sz w:val="24"/>
          <w:szCs w:val="24"/>
        </w:rPr>
        <w:t xml:space="preserve">, di taluni ambiti di interesse per il giudice penale, con altri che formano ‒ o che già hanno formato  ̶  oggetto della cognizione civile, si scegliere di approfondire il tema, partendo dal diritto interno e, quindi, dall'acquisizione, nel giudizio penale, di «verbali di prove assunte in un giudizio civile definito con sentenza che abbia acquistato autorità di cosa </w:t>
      </w:r>
      <w:r w:rsidR="001D6E93">
        <w:rPr>
          <w:rFonts w:ascii="Times New Roman" w:hAnsi="Times New Roman" w:cs="Times New Roman"/>
          <w:sz w:val="24"/>
          <w:szCs w:val="24"/>
        </w:rPr>
        <w:lastRenderedPageBreak/>
        <w:t xml:space="preserve">giudicata» (art. 238, comma 2, </w:t>
      </w:r>
      <w:proofErr w:type="spellStart"/>
      <w:r w:rsidR="001D6E93">
        <w:rPr>
          <w:rFonts w:ascii="Times New Roman" w:hAnsi="Times New Roman" w:cs="Times New Roman"/>
          <w:sz w:val="24"/>
          <w:szCs w:val="24"/>
        </w:rPr>
        <w:t>c.p.p.</w:t>
      </w:r>
      <w:proofErr w:type="spellEnd"/>
      <w:r w:rsidR="001D6E93">
        <w:rPr>
          <w:rFonts w:ascii="Times New Roman" w:hAnsi="Times New Roman" w:cs="Times New Roman"/>
          <w:sz w:val="24"/>
          <w:szCs w:val="24"/>
        </w:rPr>
        <w:t>)</w:t>
      </w:r>
      <w:r w:rsidR="002B6770">
        <w:rPr>
          <w:rStyle w:val="Rimandonotaapidipagina"/>
          <w:rFonts w:ascii="Times New Roman" w:hAnsi="Times New Roman" w:cs="Times New Roman"/>
          <w:sz w:val="24"/>
          <w:szCs w:val="24"/>
        </w:rPr>
        <w:footnoteReference w:id="10"/>
      </w:r>
      <w:r w:rsidR="002B6770">
        <w:rPr>
          <w:rFonts w:ascii="Times New Roman" w:hAnsi="Times New Roman" w:cs="Times New Roman"/>
          <w:sz w:val="24"/>
          <w:szCs w:val="24"/>
        </w:rPr>
        <w:t>, per condurre, poi, il discorso oltre i confini nazionali e tentare, quindi, di comprendere se, e in che termini, la prova formatasi nel giudizio civile straniero possa entrare nel processo penale nostrano: si daranno due possibili risposte, l'una</w:t>
      </w:r>
      <w:r w:rsidR="002B6770">
        <w:rPr>
          <w:rStyle w:val="Rimandonotaapidipagina"/>
          <w:rFonts w:ascii="Times New Roman" w:hAnsi="Times New Roman" w:cs="Times New Roman"/>
          <w:sz w:val="24"/>
          <w:szCs w:val="24"/>
        </w:rPr>
        <w:footnoteReference w:id="11"/>
      </w:r>
      <w:r w:rsidR="002B6770">
        <w:rPr>
          <w:rFonts w:ascii="Times New Roman" w:hAnsi="Times New Roman" w:cs="Times New Roman"/>
          <w:sz w:val="24"/>
          <w:szCs w:val="24"/>
        </w:rPr>
        <w:t>, riferibile alle sole regole che, nell'ordinamento italiano, disciplinano l'ingresso di materiali provenienti dal rito civile estero  ̶  e, cioè, la l. 31 maggio 1995, n. 218, in particolare negli artt. 64 ss.  ̶  e l'altra</w:t>
      </w:r>
      <w:r w:rsidR="002B6770">
        <w:rPr>
          <w:rStyle w:val="Rimandonotaapidipagina"/>
          <w:rFonts w:ascii="Times New Roman" w:hAnsi="Times New Roman" w:cs="Times New Roman"/>
          <w:sz w:val="24"/>
          <w:szCs w:val="24"/>
        </w:rPr>
        <w:footnoteReference w:id="12"/>
      </w:r>
      <w:r w:rsidR="002B6770">
        <w:rPr>
          <w:rFonts w:ascii="Times New Roman" w:hAnsi="Times New Roman" w:cs="Times New Roman"/>
          <w:sz w:val="24"/>
          <w:szCs w:val="24"/>
        </w:rPr>
        <w:t>, riconducibile alla nozione di ordine pubblico internazionale, nella sua peculiare declinazione europeistica, e al ruolo cui la giurisprudenza  ̶  interna e non  ̶  è chiamata nel riempire concetti in apparenza astratti come «principi fondamentali» o, appunto, «ordine pubblico».</w:t>
      </w:r>
    </w:p>
    <w:p w:rsidR="00CC02A4" w:rsidRDefault="00CC02A4" w:rsidP="00DF3FC3">
      <w:pPr>
        <w:spacing w:after="0"/>
        <w:jc w:val="both"/>
        <w:rPr>
          <w:rFonts w:ascii="Times New Roman" w:hAnsi="Times New Roman" w:cs="Times New Roman"/>
          <w:sz w:val="24"/>
          <w:szCs w:val="24"/>
        </w:rPr>
      </w:pPr>
    </w:p>
    <w:p w:rsidR="00F27913" w:rsidRDefault="00CC02A4" w:rsidP="004016BA">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w:t>
      </w:r>
      <w:r w:rsidR="00F27913" w:rsidRPr="00F27913">
        <w:rPr>
          <w:rFonts w:ascii="Times New Roman" w:hAnsi="Times New Roman" w:cs="Times New Roman"/>
          <w:b/>
          <w:smallCaps/>
          <w:sz w:val="24"/>
          <w:szCs w:val="24"/>
        </w:rPr>
        <w:t>Acquisizione di verbali di prova assunti in un giudizio civile (italiano)</w:t>
      </w:r>
    </w:p>
    <w:p w:rsidR="004016BA" w:rsidRDefault="004016BA" w:rsidP="004016BA">
      <w:pPr>
        <w:spacing w:after="0"/>
        <w:jc w:val="both"/>
        <w:rPr>
          <w:rFonts w:ascii="Times New Roman" w:hAnsi="Times New Roman" w:cs="Times New Roman"/>
          <w:sz w:val="24"/>
          <w:szCs w:val="24"/>
        </w:rPr>
      </w:pPr>
      <w:r>
        <w:rPr>
          <w:rFonts w:ascii="Times New Roman" w:hAnsi="Times New Roman" w:cs="Times New Roman"/>
          <w:sz w:val="24"/>
          <w:szCs w:val="24"/>
        </w:rPr>
        <w:t>Sulla locuzione «</w:t>
      </w:r>
      <w:r w:rsidRPr="004016BA">
        <w:rPr>
          <w:rFonts w:ascii="Times New Roman" w:hAnsi="Times New Roman" w:cs="Times New Roman"/>
          <w:i/>
          <w:sz w:val="24"/>
          <w:szCs w:val="24"/>
        </w:rPr>
        <w:t>verbali di prove</w:t>
      </w:r>
      <w:r>
        <w:rPr>
          <w:rFonts w:ascii="Times New Roman" w:hAnsi="Times New Roman" w:cs="Times New Roman"/>
          <w:sz w:val="24"/>
          <w:szCs w:val="24"/>
        </w:rPr>
        <w:t xml:space="preserve"> assunte in un giudizio civile», impiegata dall'art. 238, comma 2, </w:t>
      </w:r>
      <w:proofErr w:type="spellStart"/>
      <w:r>
        <w:rPr>
          <w:rFonts w:ascii="Times New Roman" w:hAnsi="Times New Roman" w:cs="Times New Roman"/>
          <w:sz w:val="24"/>
          <w:szCs w:val="24"/>
        </w:rPr>
        <w:t>c.p.p.</w:t>
      </w:r>
      <w:proofErr w:type="spellEnd"/>
      <w:r>
        <w:rPr>
          <w:rFonts w:ascii="Times New Roman" w:hAnsi="Times New Roman" w:cs="Times New Roman"/>
          <w:sz w:val="24"/>
          <w:szCs w:val="24"/>
        </w:rPr>
        <w:t xml:space="preserve">, molto s'è detto. Essa, anzitutto, pare riferirsi ai soli </w:t>
      </w:r>
      <w:r w:rsidRPr="004016BA">
        <w:rPr>
          <w:rFonts w:ascii="Times New Roman" w:hAnsi="Times New Roman" w:cs="Times New Roman"/>
          <w:i/>
          <w:sz w:val="24"/>
          <w:szCs w:val="24"/>
        </w:rPr>
        <w:t>mezzi di prova</w:t>
      </w:r>
      <w:r>
        <w:rPr>
          <w:rFonts w:ascii="Times New Roman" w:hAnsi="Times New Roman" w:cs="Times New Roman"/>
          <w:sz w:val="24"/>
          <w:szCs w:val="24"/>
        </w:rPr>
        <w:t xml:space="preserve">, concepiti come tali secondo la normativa </w:t>
      </w:r>
      <w:proofErr w:type="spellStart"/>
      <w:r>
        <w:rPr>
          <w:rFonts w:ascii="Times New Roman" w:hAnsi="Times New Roman" w:cs="Times New Roman"/>
          <w:sz w:val="24"/>
          <w:szCs w:val="24"/>
        </w:rPr>
        <w:t>processualcivilistica</w:t>
      </w:r>
      <w:proofErr w:type="spellEnd"/>
      <w:r>
        <w:rPr>
          <w:rFonts w:ascii="Times New Roman" w:hAnsi="Times New Roman" w:cs="Times New Roman"/>
          <w:sz w:val="24"/>
          <w:szCs w:val="24"/>
        </w:rPr>
        <w:t xml:space="preserve"> sull'istruzione probatoria: in tal modo, una consulenza tecnica d'ufficio sfugge alla norma ora in esame, non appartenendo «</w:t>
      </w:r>
      <w:r w:rsidRPr="00EE0067">
        <w:rPr>
          <w:rFonts w:ascii="Times New Roman" w:hAnsi="Times New Roman" w:cs="Times New Roman"/>
          <w:sz w:val="24"/>
          <w:szCs w:val="24"/>
        </w:rPr>
        <w:t>alla categoria dei mezzi di prova, avendo essa la finalità di aiutare il giudice nella valutazione degli</w:t>
      </w:r>
      <w:r>
        <w:rPr>
          <w:rFonts w:ascii="Times New Roman" w:hAnsi="Times New Roman" w:cs="Times New Roman"/>
          <w:i/>
          <w:sz w:val="24"/>
          <w:szCs w:val="24"/>
        </w:rPr>
        <w:t xml:space="preserve"> </w:t>
      </w:r>
      <w:r w:rsidRPr="00EE0067">
        <w:rPr>
          <w:rFonts w:ascii="Times New Roman" w:hAnsi="Times New Roman" w:cs="Times New Roman"/>
          <w:sz w:val="24"/>
          <w:szCs w:val="24"/>
        </w:rPr>
        <w:t>elementi acquisiti o nella soluzione di questioni che comportino specifiche conoscenze</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3"/>
      </w:r>
      <w:r>
        <w:rPr>
          <w:rFonts w:ascii="Times New Roman" w:hAnsi="Times New Roman" w:cs="Times New Roman"/>
          <w:sz w:val="24"/>
          <w:szCs w:val="24"/>
        </w:rPr>
        <w:t xml:space="preserve">. </w:t>
      </w:r>
    </w:p>
    <w:p w:rsidR="004016BA" w:rsidRDefault="004016BA" w:rsidP="004016BA">
      <w:pPr>
        <w:spacing w:after="0"/>
        <w:jc w:val="both"/>
        <w:rPr>
          <w:rFonts w:ascii="Times New Roman" w:hAnsi="Times New Roman" w:cs="Times New Roman"/>
          <w:sz w:val="24"/>
          <w:szCs w:val="24"/>
        </w:rPr>
      </w:pPr>
      <w:r>
        <w:rPr>
          <w:rFonts w:ascii="Times New Roman" w:hAnsi="Times New Roman" w:cs="Times New Roman"/>
          <w:sz w:val="24"/>
          <w:szCs w:val="24"/>
        </w:rPr>
        <w:tab/>
        <w:t xml:space="preserve">Ancora, in un processo per ingiuria  ̶  celebratosi, ovviamente, quando ancora la fattispecie aveva rilievo penale  ̶  avente ad oggetto l'espressione offensiva proferita durante un'udienza civile, il verbale dell'udienza in cui fu pronunciato l'insulto non entrò nel giudizio penale ai sensi dell'art. 238, comma 2, </w:t>
      </w:r>
      <w:proofErr w:type="spellStart"/>
      <w:r>
        <w:rPr>
          <w:rFonts w:ascii="Times New Roman" w:hAnsi="Times New Roman" w:cs="Times New Roman"/>
          <w:sz w:val="24"/>
          <w:szCs w:val="24"/>
        </w:rPr>
        <w:t>c.p.p.</w:t>
      </w:r>
      <w:proofErr w:type="spellEnd"/>
      <w:r>
        <w:rPr>
          <w:rFonts w:ascii="Times New Roman" w:hAnsi="Times New Roman" w:cs="Times New Roman"/>
          <w:sz w:val="24"/>
          <w:szCs w:val="24"/>
        </w:rPr>
        <w:t xml:space="preserve">, giacché non acquisito come verbale di prova relativa al </w:t>
      </w:r>
      <w:proofErr w:type="spellStart"/>
      <w:r>
        <w:rPr>
          <w:rFonts w:ascii="Times New Roman" w:hAnsi="Times New Roman" w:cs="Times New Roman"/>
          <w:i/>
          <w:sz w:val="24"/>
          <w:szCs w:val="24"/>
        </w:rPr>
        <w:t>thema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decidendum</w:t>
      </w:r>
      <w:proofErr w:type="spellEnd"/>
      <w:r>
        <w:rPr>
          <w:rFonts w:ascii="Times New Roman" w:hAnsi="Times New Roman" w:cs="Times New Roman"/>
          <w:sz w:val="24"/>
          <w:szCs w:val="24"/>
        </w:rPr>
        <w:t xml:space="preserve"> della vertenza civile, ma «</w:t>
      </w:r>
      <w:r w:rsidRPr="00EE0067">
        <w:rPr>
          <w:rFonts w:ascii="Times New Roman" w:hAnsi="Times New Roman" w:cs="Times New Roman"/>
          <w:sz w:val="24"/>
          <w:szCs w:val="24"/>
        </w:rPr>
        <w:t>come atto documentale, dotato di pubblica fede, attestante un fatto avvenuto in quella sede</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4"/>
      </w:r>
      <w:r>
        <w:rPr>
          <w:rFonts w:ascii="Times New Roman" w:hAnsi="Times New Roman" w:cs="Times New Roman"/>
          <w:sz w:val="24"/>
          <w:szCs w:val="24"/>
        </w:rPr>
        <w:t>.</w:t>
      </w:r>
    </w:p>
    <w:p w:rsidR="004016BA" w:rsidRDefault="004016BA" w:rsidP="004016BA">
      <w:pPr>
        <w:spacing w:after="0"/>
        <w:jc w:val="both"/>
        <w:rPr>
          <w:rFonts w:ascii="Times New Roman" w:hAnsi="Times New Roman" w:cs="Times New Roman"/>
          <w:sz w:val="24"/>
          <w:szCs w:val="24"/>
        </w:rPr>
      </w:pPr>
      <w:r>
        <w:rPr>
          <w:rFonts w:ascii="Times New Roman" w:hAnsi="Times New Roman" w:cs="Times New Roman"/>
          <w:sz w:val="24"/>
          <w:szCs w:val="24"/>
        </w:rPr>
        <w:tab/>
        <w:t xml:space="preserve">Ne deriva che l'art. 238, comma 2, </w:t>
      </w:r>
      <w:proofErr w:type="spellStart"/>
      <w:r>
        <w:rPr>
          <w:rFonts w:ascii="Times New Roman" w:hAnsi="Times New Roman" w:cs="Times New Roman"/>
          <w:sz w:val="24"/>
          <w:szCs w:val="24"/>
        </w:rPr>
        <w:t>c.p.p.</w:t>
      </w:r>
      <w:proofErr w:type="spellEnd"/>
      <w:r>
        <w:rPr>
          <w:rFonts w:ascii="Times New Roman" w:hAnsi="Times New Roman" w:cs="Times New Roman"/>
          <w:sz w:val="24"/>
          <w:szCs w:val="24"/>
        </w:rPr>
        <w:t xml:space="preserve"> si riferisce ai mezzi di prova acquisiti dal giudice civile per rispondere alla domanda </w:t>
      </w:r>
      <w:proofErr w:type="spellStart"/>
      <w:r>
        <w:rPr>
          <w:rFonts w:ascii="Times New Roman" w:hAnsi="Times New Roman" w:cs="Times New Roman"/>
          <w:sz w:val="24"/>
          <w:szCs w:val="24"/>
        </w:rPr>
        <w:t>attorea</w:t>
      </w:r>
      <w:proofErr w:type="spellEnd"/>
      <w:r>
        <w:rPr>
          <w:rFonts w:ascii="Times New Roman" w:hAnsi="Times New Roman" w:cs="Times New Roman"/>
          <w:sz w:val="24"/>
          <w:szCs w:val="24"/>
        </w:rPr>
        <w:t xml:space="preserve"> o per valutare eccezioni o riconvenzionali di parte convenuta: accettata questa premessa, si può, poi, apprezzare la notevole ampiezza del concetto in argomento, che si utilizza tanto nel giudizio di cognizione, quanto nella conseguente fase esecutiva. Si è parlato di mezzo di prova in riferimento all'«</w:t>
      </w:r>
      <w:r w:rsidRPr="00EE0067">
        <w:rPr>
          <w:rFonts w:ascii="Times New Roman" w:hAnsi="Times New Roman" w:cs="Times New Roman"/>
          <w:sz w:val="24"/>
          <w:szCs w:val="24"/>
        </w:rPr>
        <w:t>assunzione della cartella esattoriale quale titolo ed esclusivo mezzo di prova del credito iscritto a ruolo</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5"/>
      </w:r>
      <w:r>
        <w:rPr>
          <w:rFonts w:ascii="Times New Roman" w:hAnsi="Times New Roman" w:cs="Times New Roman"/>
          <w:sz w:val="24"/>
          <w:szCs w:val="24"/>
        </w:rPr>
        <w:t>; nondimeno, in tema di presunzioni è stato detto che  «</w:t>
      </w:r>
      <w:r w:rsidRPr="00EE0067">
        <w:rPr>
          <w:rFonts w:ascii="Times New Roman" w:hAnsi="Times New Roman" w:cs="Times New Roman"/>
          <w:sz w:val="24"/>
          <w:szCs w:val="24"/>
        </w:rPr>
        <w:t xml:space="preserve">è incensurabile, in sede di legittimità, l'apprezzamento del giudice di merito circa </w:t>
      </w:r>
      <w:r w:rsidRPr="00EE0067">
        <w:rPr>
          <w:rFonts w:ascii="Times New Roman" w:hAnsi="Times New Roman" w:cs="Times New Roman"/>
          <w:sz w:val="24"/>
          <w:szCs w:val="24"/>
        </w:rPr>
        <w:lastRenderedPageBreak/>
        <w:t>l'opportunità di fondare la decisione su tale mezzo di prova e circa la ricorrenza dei requisiti di precisione, gravità e concordanza, richiesti dalla legge per la valorizzazione degli elementi di fatto come fonti di presunzione</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6"/>
      </w:r>
      <w:r>
        <w:rPr>
          <w:rFonts w:ascii="Times New Roman" w:hAnsi="Times New Roman" w:cs="Times New Roman"/>
          <w:sz w:val="24"/>
          <w:szCs w:val="24"/>
        </w:rPr>
        <w:t>. Non manca, infine, una pronuncia che, in parziale contrasto con l'orientamento maggioritario, giunge a parlare dell'accertamento tecnico preventivo nei termini di un «</w:t>
      </w:r>
      <w:r w:rsidRPr="00EE0067">
        <w:rPr>
          <w:rFonts w:ascii="Times New Roman" w:hAnsi="Times New Roman" w:cs="Times New Roman"/>
          <w:sz w:val="24"/>
          <w:szCs w:val="24"/>
        </w:rPr>
        <w:t>mezzo di istruzione</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7"/>
      </w:r>
      <w:r>
        <w:rPr>
          <w:rFonts w:ascii="Times New Roman" w:hAnsi="Times New Roman" w:cs="Times New Roman"/>
          <w:sz w:val="24"/>
          <w:szCs w:val="24"/>
        </w:rPr>
        <w:t>.</w:t>
      </w:r>
    </w:p>
    <w:p w:rsidR="00213297" w:rsidRDefault="00213297" w:rsidP="004016BA">
      <w:pPr>
        <w:spacing w:after="0"/>
        <w:jc w:val="both"/>
        <w:rPr>
          <w:rFonts w:ascii="Times New Roman" w:hAnsi="Times New Roman" w:cs="Times New Roman"/>
          <w:sz w:val="24"/>
          <w:szCs w:val="24"/>
        </w:rPr>
      </w:pPr>
      <w:r>
        <w:rPr>
          <w:rFonts w:ascii="Times New Roman" w:hAnsi="Times New Roman" w:cs="Times New Roman"/>
          <w:sz w:val="24"/>
          <w:szCs w:val="24"/>
        </w:rPr>
        <w:tab/>
        <w:t xml:space="preserve">Rimane al di fuori della categoria la confessione: il giudice, infatti, non può apprezzarla </w:t>
      </w:r>
      <w:r w:rsidR="004016BA">
        <w:rPr>
          <w:rFonts w:ascii="Times New Roman" w:hAnsi="Times New Roman" w:cs="Times New Roman"/>
          <w:sz w:val="24"/>
          <w:szCs w:val="24"/>
        </w:rPr>
        <w:t>«</w:t>
      </w:r>
      <w:r w:rsidR="004016BA" w:rsidRPr="00EE0067">
        <w:rPr>
          <w:rFonts w:ascii="Times New Roman" w:hAnsi="Times New Roman" w:cs="Times New Roman"/>
          <w:sz w:val="24"/>
          <w:szCs w:val="24"/>
        </w:rPr>
        <w:t>indipendentemente da qualsiasi riferimento alle finalità della sua proposizione ovvero all'eventuale intenzionalità, da parte di chi vi ha dato corso, degli effetti che [essa] è destinata a produrre sull'accertamento del fatto»</w:t>
      </w:r>
      <w:r w:rsidR="004016BA" w:rsidRPr="00EE0067">
        <w:rPr>
          <w:rStyle w:val="Rimandonotaapidipagina"/>
          <w:rFonts w:ascii="Times New Roman" w:hAnsi="Times New Roman" w:cs="Times New Roman"/>
          <w:sz w:val="24"/>
          <w:szCs w:val="24"/>
        </w:rPr>
        <w:footnoteReference w:id="18"/>
      </w:r>
      <w:r w:rsidR="004016BA" w:rsidRPr="00EE0067">
        <w:rPr>
          <w:rFonts w:ascii="Times New Roman" w:hAnsi="Times New Roman" w:cs="Times New Roman"/>
          <w:sz w:val="24"/>
          <w:szCs w:val="24"/>
        </w:rPr>
        <w:t>. E ciò, poiché «tutta la disciplina della confessione, con le condizioni e i presupposti che essa stabilisce, è orientata verso l'assicurazione della "verità" della dichiarazione</w:t>
      </w:r>
      <w:r w:rsidR="004016BA">
        <w:rPr>
          <w:rFonts w:ascii="Times New Roman" w:hAnsi="Times New Roman" w:cs="Times New Roman"/>
          <w:sz w:val="24"/>
          <w:szCs w:val="24"/>
        </w:rPr>
        <w:t>»</w:t>
      </w:r>
      <w:r w:rsidR="004016BA">
        <w:rPr>
          <w:rStyle w:val="Rimandonotaapidipagina"/>
          <w:rFonts w:ascii="Times New Roman" w:hAnsi="Times New Roman" w:cs="Times New Roman"/>
          <w:sz w:val="24"/>
          <w:szCs w:val="24"/>
        </w:rPr>
        <w:footnoteReference w:id="19"/>
      </w:r>
      <w:r>
        <w:rPr>
          <w:rFonts w:ascii="Times New Roman" w:hAnsi="Times New Roman" w:cs="Times New Roman"/>
          <w:sz w:val="24"/>
          <w:szCs w:val="24"/>
        </w:rPr>
        <w:t>.</w:t>
      </w:r>
    </w:p>
    <w:p w:rsidR="004016BA" w:rsidRDefault="00213297" w:rsidP="004016BA">
      <w:pPr>
        <w:spacing w:after="0"/>
        <w:jc w:val="both"/>
        <w:rPr>
          <w:rFonts w:ascii="Times New Roman" w:hAnsi="Times New Roman" w:cs="Times New Roman"/>
          <w:sz w:val="24"/>
          <w:szCs w:val="24"/>
        </w:rPr>
      </w:pPr>
      <w:r>
        <w:rPr>
          <w:rFonts w:ascii="Times New Roman" w:hAnsi="Times New Roman" w:cs="Times New Roman"/>
          <w:sz w:val="24"/>
          <w:szCs w:val="24"/>
        </w:rPr>
        <w:tab/>
      </w:r>
      <w:r w:rsidR="004016BA">
        <w:rPr>
          <w:rFonts w:ascii="Times New Roman" w:hAnsi="Times New Roman" w:cs="Times New Roman"/>
          <w:sz w:val="24"/>
          <w:szCs w:val="24"/>
        </w:rPr>
        <w:t>Insomma, la confessione consta di un imprescindibile elemento soggettivo, rappresentato dalla consapevolezza di riconoscere un fatto a sé pregiudizievole e favorevole, invece, per la controparte</w:t>
      </w:r>
      <w:r w:rsidR="004016BA">
        <w:rPr>
          <w:rStyle w:val="Rimandonotaapidipagina"/>
          <w:rFonts w:ascii="Times New Roman" w:hAnsi="Times New Roman" w:cs="Times New Roman"/>
          <w:sz w:val="24"/>
          <w:szCs w:val="24"/>
        </w:rPr>
        <w:footnoteReference w:id="20"/>
      </w:r>
      <w:r w:rsidR="004016BA">
        <w:rPr>
          <w:rFonts w:ascii="Times New Roman" w:hAnsi="Times New Roman" w:cs="Times New Roman"/>
          <w:sz w:val="24"/>
          <w:szCs w:val="24"/>
        </w:rPr>
        <w:t xml:space="preserve">: in ciò è accostabile più ad un negozio che ad un mezzo di prova, </w:t>
      </w:r>
      <w:r>
        <w:rPr>
          <w:rFonts w:ascii="Times New Roman" w:hAnsi="Times New Roman" w:cs="Times New Roman"/>
          <w:sz w:val="24"/>
          <w:szCs w:val="24"/>
        </w:rPr>
        <w:t>e, infatti, sul punto</w:t>
      </w:r>
      <w:r w:rsidR="004016BA">
        <w:rPr>
          <w:rFonts w:ascii="Times New Roman" w:hAnsi="Times New Roman" w:cs="Times New Roman"/>
          <w:sz w:val="24"/>
          <w:szCs w:val="24"/>
        </w:rPr>
        <w:t xml:space="preserve"> la giurisprudenza</w:t>
      </w:r>
      <w:r>
        <w:rPr>
          <w:rFonts w:ascii="Times New Roman" w:hAnsi="Times New Roman" w:cs="Times New Roman"/>
          <w:sz w:val="24"/>
          <w:szCs w:val="24"/>
        </w:rPr>
        <w:t xml:space="preserve"> chiama</w:t>
      </w:r>
      <w:r w:rsidR="004016BA">
        <w:rPr>
          <w:rFonts w:ascii="Times New Roman" w:hAnsi="Times New Roman" w:cs="Times New Roman"/>
          <w:sz w:val="24"/>
          <w:szCs w:val="24"/>
        </w:rPr>
        <w:t xml:space="preserve"> alla necessità di un'indagine circa l'intenzione con cui la parte ha confessato</w:t>
      </w:r>
      <w:r w:rsidR="004016BA">
        <w:rPr>
          <w:rStyle w:val="Rimandonotaapidipagina"/>
          <w:rFonts w:ascii="Times New Roman" w:hAnsi="Times New Roman" w:cs="Times New Roman"/>
          <w:sz w:val="24"/>
          <w:szCs w:val="24"/>
        </w:rPr>
        <w:footnoteReference w:id="21"/>
      </w:r>
      <w:r w:rsidR="004016BA">
        <w:rPr>
          <w:rFonts w:ascii="Times New Roman" w:hAnsi="Times New Roman" w:cs="Times New Roman"/>
          <w:sz w:val="24"/>
          <w:szCs w:val="24"/>
        </w:rPr>
        <w:t>.</w:t>
      </w:r>
    </w:p>
    <w:p w:rsidR="00213297" w:rsidRDefault="00213297" w:rsidP="00213297">
      <w:pPr>
        <w:spacing w:after="0"/>
        <w:jc w:val="both"/>
        <w:rPr>
          <w:rFonts w:ascii="Times New Roman" w:hAnsi="Times New Roman" w:cs="Times New Roman"/>
          <w:sz w:val="24"/>
          <w:szCs w:val="24"/>
        </w:rPr>
      </w:pPr>
      <w:r>
        <w:rPr>
          <w:rFonts w:ascii="Times New Roman" w:hAnsi="Times New Roman" w:cs="Times New Roman"/>
          <w:sz w:val="24"/>
          <w:szCs w:val="24"/>
        </w:rPr>
        <w:tab/>
        <w:t xml:space="preserve">Il breve </w:t>
      </w:r>
      <w:r>
        <w:rPr>
          <w:rFonts w:ascii="Times New Roman" w:hAnsi="Times New Roman" w:cs="Times New Roman"/>
          <w:i/>
          <w:sz w:val="24"/>
          <w:szCs w:val="24"/>
        </w:rPr>
        <w:t>excursus</w:t>
      </w:r>
      <w:r>
        <w:rPr>
          <w:rFonts w:ascii="Times New Roman" w:hAnsi="Times New Roman" w:cs="Times New Roman"/>
          <w:sz w:val="24"/>
          <w:szCs w:val="24"/>
        </w:rPr>
        <w:t xml:space="preserve"> consente di ricostruire la nozione civilistica di </w:t>
      </w:r>
      <w:r>
        <w:rPr>
          <w:rFonts w:ascii="Times New Roman" w:hAnsi="Times New Roman" w:cs="Times New Roman"/>
          <w:i/>
          <w:sz w:val="24"/>
          <w:szCs w:val="24"/>
        </w:rPr>
        <w:t>mezzo di prova</w:t>
      </w:r>
      <w:r>
        <w:rPr>
          <w:rFonts w:ascii="Times New Roman" w:hAnsi="Times New Roman" w:cs="Times New Roman"/>
          <w:sz w:val="24"/>
          <w:szCs w:val="24"/>
        </w:rPr>
        <w:t xml:space="preserve"> nei termini di una</w:t>
      </w:r>
      <w:r w:rsidR="004016BA">
        <w:rPr>
          <w:rFonts w:ascii="Times New Roman" w:hAnsi="Times New Roman" w:cs="Times New Roman"/>
          <w:sz w:val="24"/>
          <w:szCs w:val="24"/>
        </w:rPr>
        <w:t xml:space="preserve"> «</w:t>
      </w:r>
      <w:r w:rsidR="004016BA" w:rsidRPr="00286CFE">
        <w:rPr>
          <w:rFonts w:ascii="Times New Roman" w:hAnsi="Times New Roman" w:cs="Times New Roman"/>
          <w:sz w:val="24"/>
          <w:szCs w:val="24"/>
        </w:rPr>
        <w:t>fonte di conoscenza mediante la quale si fornisce al giudice la rappresentazione storica o la ricostruzione critica del fatto da provare</w:t>
      </w:r>
      <w:r w:rsidR="004016BA">
        <w:rPr>
          <w:rFonts w:ascii="Times New Roman" w:hAnsi="Times New Roman" w:cs="Times New Roman"/>
          <w:sz w:val="24"/>
          <w:szCs w:val="24"/>
        </w:rPr>
        <w:t>»</w:t>
      </w:r>
      <w:r w:rsidR="004016BA">
        <w:rPr>
          <w:rStyle w:val="Rimandonotaapidipagina"/>
          <w:rFonts w:ascii="Times New Roman" w:hAnsi="Times New Roman" w:cs="Times New Roman"/>
          <w:sz w:val="24"/>
          <w:szCs w:val="24"/>
        </w:rPr>
        <w:footnoteReference w:id="22"/>
      </w:r>
      <w:r>
        <w:rPr>
          <w:rFonts w:ascii="Times New Roman" w:hAnsi="Times New Roman" w:cs="Times New Roman"/>
          <w:sz w:val="24"/>
          <w:szCs w:val="24"/>
        </w:rPr>
        <w:t xml:space="preserve">. Si comprende, allora, il motivo per cui ne rimangano fuori tanto la consulenza tecnica d'ufficio  ̶  risultato dell'elaborazione di dati offerta da un ausiliario del giudice  ̶ , quanto la confessione, intesa come negozio, ancorché di matrice processuale. </w:t>
      </w:r>
    </w:p>
    <w:p w:rsidR="00213297" w:rsidRDefault="00213297" w:rsidP="00213297">
      <w:pPr>
        <w:spacing w:after="0"/>
        <w:jc w:val="both"/>
        <w:rPr>
          <w:rFonts w:ascii="Times New Roman" w:hAnsi="Times New Roman" w:cs="Times New Roman"/>
          <w:sz w:val="24"/>
          <w:szCs w:val="24"/>
        </w:rPr>
      </w:pPr>
      <w:r>
        <w:rPr>
          <w:rFonts w:ascii="Times New Roman" w:hAnsi="Times New Roman" w:cs="Times New Roman"/>
          <w:sz w:val="24"/>
          <w:szCs w:val="24"/>
        </w:rPr>
        <w:tab/>
        <w:t xml:space="preserve">Quanto appena detto si sposa, poi, con il tenore letterale dell'art. 238, comma 2, </w:t>
      </w:r>
      <w:proofErr w:type="spellStart"/>
      <w:r>
        <w:rPr>
          <w:rFonts w:ascii="Times New Roman" w:hAnsi="Times New Roman" w:cs="Times New Roman"/>
          <w:sz w:val="24"/>
          <w:szCs w:val="24"/>
        </w:rPr>
        <w:t>c.p.p.</w:t>
      </w:r>
      <w:proofErr w:type="spellEnd"/>
      <w:r>
        <w:rPr>
          <w:rFonts w:ascii="Times New Roman" w:hAnsi="Times New Roman" w:cs="Times New Roman"/>
          <w:sz w:val="24"/>
          <w:szCs w:val="24"/>
        </w:rPr>
        <w:t>, che non a caso parla di «</w:t>
      </w:r>
      <w:r>
        <w:rPr>
          <w:rFonts w:ascii="Times New Roman" w:hAnsi="Times New Roman" w:cs="Times New Roman"/>
          <w:i/>
          <w:sz w:val="24"/>
          <w:szCs w:val="24"/>
        </w:rPr>
        <w:t>verbali di prova</w:t>
      </w:r>
      <w:r>
        <w:rPr>
          <w:rFonts w:ascii="Times New Roman" w:hAnsi="Times New Roman" w:cs="Times New Roman"/>
          <w:sz w:val="24"/>
          <w:szCs w:val="24"/>
        </w:rPr>
        <w:t xml:space="preserve">», così escludendo le prove precostituite, destinate ad entrare nel giudizio penale come documenti, ai sensi dell'art. 234 </w:t>
      </w:r>
      <w:proofErr w:type="spellStart"/>
      <w:r>
        <w:rPr>
          <w:rFonts w:ascii="Times New Roman" w:hAnsi="Times New Roman" w:cs="Times New Roman"/>
          <w:sz w:val="24"/>
          <w:szCs w:val="24"/>
        </w:rPr>
        <w:t>c.p.p</w:t>
      </w:r>
      <w:proofErr w:type="spellEnd"/>
      <w:r>
        <w:rPr>
          <w:rFonts w:ascii="Times New Roman" w:hAnsi="Times New Roman" w:cs="Times New Roman"/>
          <w:sz w:val="24"/>
          <w:szCs w:val="24"/>
        </w:rPr>
        <w:t>..</w:t>
      </w:r>
    </w:p>
    <w:p w:rsidR="00213297" w:rsidRDefault="00213297" w:rsidP="00213297">
      <w:pPr>
        <w:spacing w:after="0"/>
        <w:jc w:val="both"/>
        <w:rPr>
          <w:rFonts w:ascii="Times New Roman" w:hAnsi="Times New Roman" w:cs="Times New Roman"/>
          <w:sz w:val="24"/>
          <w:szCs w:val="24"/>
        </w:rPr>
      </w:pPr>
      <w:r>
        <w:rPr>
          <w:rFonts w:ascii="Times New Roman" w:hAnsi="Times New Roman" w:cs="Times New Roman"/>
          <w:sz w:val="24"/>
          <w:szCs w:val="24"/>
        </w:rPr>
        <w:tab/>
        <w:t>Le prove precostituite sono «</w:t>
      </w:r>
      <w:r w:rsidRPr="00286CFE">
        <w:rPr>
          <w:rFonts w:ascii="Times New Roman" w:hAnsi="Times New Roman" w:cs="Times New Roman"/>
          <w:sz w:val="24"/>
          <w:szCs w:val="24"/>
        </w:rPr>
        <w:t>sempre opera dell'uomo, onde non vi sono documenti naturali</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23"/>
      </w:r>
      <w:r>
        <w:rPr>
          <w:rFonts w:ascii="Times New Roman" w:hAnsi="Times New Roman" w:cs="Times New Roman"/>
          <w:sz w:val="24"/>
          <w:szCs w:val="24"/>
        </w:rPr>
        <w:t>, tra esse rivestendo capitale importanza le scritture</w:t>
      </w:r>
      <w:r>
        <w:rPr>
          <w:rStyle w:val="Rimandonotaapidipagina"/>
          <w:rFonts w:ascii="Times New Roman" w:hAnsi="Times New Roman" w:cs="Times New Roman"/>
          <w:sz w:val="24"/>
          <w:szCs w:val="24"/>
        </w:rPr>
        <w:footnoteReference w:id="24"/>
      </w:r>
      <w:r>
        <w:rPr>
          <w:rFonts w:ascii="Times New Roman" w:hAnsi="Times New Roman" w:cs="Times New Roman"/>
          <w:sz w:val="24"/>
          <w:szCs w:val="24"/>
        </w:rPr>
        <w:t xml:space="preserve">: così, ogni volta in cui taluno, </w:t>
      </w:r>
      <w:r>
        <w:rPr>
          <w:rFonts w:ascii="Times New Roman" w:hAnsi="Times New Roman" w:cs="Times New Roman"/>
          <w:i/>
          <w:sz w:val="24"/>
          <w:szCs w:val="24"/>
        </w:rPr>
        <w:t>sua sponte</w:t>
      </w:r>
      <w:r>
        <w:rPr>
          <w:rFonts w:ascii="Times New Roman" w:hAnsi="Times New Roman" w:cs="Times New Roman"/>
          <w:sz w:val="24"/>
          <w:szCs w:val="24"/>
        </w:rPr>
        <w:t xml:space="preserve"> o perché richiesto dal giudice civile, produce in giudizio una </w:t>
      </w:r>
      <w:proofErr w:type="spellStart"/>
      <w:r>
        <w:rPr>
          <w:rFonts w:ascii="Times New Roman" w:hAnsi="Times New Roman" w:cs="Times New Roman"/>
          <w:i/>
          <w:sz w:val="24"/>
          <w:szCs w:val="24"/>
        </w:rPr>
        <w:t>res</w:t>
      </w:r>
      <w:proofErr w:type="spellEnd"/>
      <w:r>
        <w:rPr>
          <w:rFonts w:ascii="Times New Roman" w:hAnsi="Times New Roman" w:cs="Times New Roman"/>
          <w:sz w:val="24"/>
          <w:szCs w:val="24"/>
        </w:rPr>
        <w:t xml:space="preserve"> in grado di conservare e rendere disponibile nel tempo la rappresentazione di una realtà</w:t>
      </w:r>
      <w:r>
        <w:rPr>
          <w:rStyle w:val="Rimandonotaapidipagina"/>
          <w:rFonts w:ascii="Times New Roman" w:hAnsi="Times New Roman" w:cs="Times New Roman"/>
          <w:sz w:val="24"/>
          <w:szCs w:val="24"/>
        </w:rPr>
        <w:footnoteReference w:id="25"/>
      </w:r>
      <w:r>
        <w:rPr>
          <w:rFonts w:ascii="Times New Roman" w:hAnsi="Times New Roman" w:cs="Times New Roman"/>
          <w:sz w:val="24"/>
          <w:szCs w:val="24"/>
        </w:rPr>
        <w:t xml:space="preserve">, si ha un documento. Qualora esso debba entrare in un successivo processo penale, non troverà applicazione l'art. 238, comma 2, </w:t>
      </w:r>
      <w:proofErr w:type="spellStart"/>
      <w:r>
        <w:rPr>
          <w:rFonts w:ascii="Times New Roman" w:hAnsi="Times New Roman" w:cs="Times New Roman"/>
          <w:sz w:val="24"/>
          <w:szCs w:val="24"/>
        </w:rPr>
        <w:t>c.p.p</w:t>
      </w:r>
      <w:proofErr w:type="spellEnd"/>
      <w:r>
        <w:rPr>
          <w:rFonts w:ascii="Times New Roman" w:hAnsi="Times New Roman" w:cs="Times New Roman"/>
          <w:sz w:val="24"/>
          <w:szCs w:val="24"/>
        </w:rPr>
        <w:t>..</w:t>
      </w:r>
    </w:p>
    <w:p w:rsidR="00213297" w:rsidRDefault="00213297" w:rsidP="004016B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4016BA">
        <w:rPr>
          <w:rFonts w:ascii="Times New Roman" w:hAnsi="Times New Roman" w:cs="Times New Roman"/>
          <w:sz w:val="24"/>
          <w:szCs w:val="24"/>
        </w:rPr>
        <w:t xml:space="preserve">Con un esempio, qualora in un contenzioso civile per revocatoria avente ad oggetto il contratto di compravendita di un fondo, stipulato tra un venditore e due acquirenti, in frode ad un quarto, il giudice ordini </w:t>
      </w:r>
      <w:r w:rsidR="004016BA">
        <w:rPr>
          <w:rFonts w:ascii="Times New Roman" w:hAnsi="Times New Roman" w:cs="Times New Roman"/>
          <w:i/>
          <w:sz w:val="24"/>
          <w:szCs w:val="24"/>
        </w:rPr>
        <w:t>ex</w:t>
      </w:r>
      <w:r w:rsidR="004016BA">
        <w:rPr>
          <w:rFonts w:ascii="Times New Roman" w:hAnsi="Times New Roman" w:cs="Times New Roman"/>
          <w:sz w:val="24"/>
          <w:szCs w:val="24"/>
        </w:rPr>
        <w:t xml:space="preserve"> art. 210 </w:t>
      </w:r>
      <w:proofErr w:type="spellStart"/>
      <w:r w:rsidR="004016BA">
        <w:rPr>
          <w:rFonts w:ascii="Times New Roman" w:hAnsi="Times New Roman" w:cs="Times New Roman"/>
          <w:sz w:val="24"/>
          <w:szCs w:val="24"/>
        </w:rPr>
        <w:t>c.p.c.</w:t>
      </w:r>
      <w:proofErr w:type="spellEnd"/>
      <w:r w:rsidR="004016BA">
        <w:rPr>
          <w:rFonts w:ascii="Times New Roman" w:hAnsi="Times New Roman" w:cs="Times New Roman"/>
          <w:sz w:val="24"/>
          <w:szCs w:val="24"/>
        </w:rPr>
        <w:t xml:space="preserve"> l'esibizione dei movimenti bancari sui conti correnti intestati ai compratori del terreno, e per quegli stessi fatti si apra un procedimento penale per associazione a delinquere, che vede le parti del contratto immobiliare quali accusati, non dovrà certo attendersi il giudicato sulla decisione conclusiva della vertenza civile per produrre dinnanzi al giudice penale gli estratti conto già entrati nel primo giudizio. </w:t>
      </w:r>
    </w:p>
    <w:p w:rsidR="004016BA" w:rsidRDefault="00213297" w:rsidP="004016BA">
      <w:pPr>
        <w:spacing w:after="0"/>
        <w:jc w:val="both"/>
        <w:rPr>
          <w:rFonts w:ascii="Times New Roman" w:hAnsi="Times New Roman" w:cs="Times New Roman"/>
          <w:sz w:val="24"/>
          <w:szCs w:val="24"/>
        </w:rPr>
      </w:pPr>
      <w:r>
        <w:rPr>
          <w:rFonts w:ascii="Times New Roman" w:hAnsi="Times New Roman" w:cs="Times New Roman"/>
          <w:sz w:val="24"/>
          <w:szCs w:val="24"/>
        </w:rPr>
        <w:tab/>
      </w:r>
      <w:r w:rsidR="004016BA">
        <w:rPr>
          <w:rFonts w:ascii="Times New Roman" w:hAnsi="Times New Roman" w:cs="Times New Roman"/>
          <w:sz w:val="24"/>
          <w:szCs w:val="24"/>
        </w:rPr>
        <w:t xml:space="preserve">Dettate le coordinate sul funzionamento dell'art. 238, comma 2, </w:t>
      </w:r>
      <w:proofErr w:type="spellStart"/>
      <w:r w:rsidR="004016BA">
        <w:rPr>
          <w:rFonts w:ascii="Times New Roman" w:hAnsi="Times New Roman" w:cs="Times New Roman"/>
          <w:sz w:val="24"/>
          <w:szCs w:val="24"/>
        </w:rPr>
        <w:t>c.p.p.</w:t>
      </w:r>
      <w:proofErr w:type="spellEnd"/>
      <w:r w:rsidR="004016BA">
        <w:rPr>
          <w:rFonts w:ascii="Times New Roman" w:hAnsi="Times New Roman" w:cs="Times New Roman"/>
          <w:sz w:val="24"/>
          <w:szCs w:val="24"/>
        </w:rPr>
        <w:t>, si considerino queste parole: «</w:t>
      </w:r>
      <w:r w:rsidR="004016BA" w:rsidRPr="00286CFE">
        <w:rPr>
          <w:rFonts w:ascii="Times New Roman" w:hAnsi="Times New Roman" w:cs="Times New Roman"/>
          <w:sz w:val="24"/>
          <w:szCs w:val="24"/>
        </w:rPr>
        <w:t>se il dibattimento si riducesse di fatto ad una discussione sul conto di prove già formate, che il giudice conosce attraverso verbali, … finirebbe sacrificata l'immediatezza senza la quale l'oralità diventa larva di se stessa. L'unità di tempo e d'azione è canone della tragedia che vale anche per il processo</w:t>
      </w:r>
      <w:r w:rsidR="004016BA">
        <w:rPr>
          <w:rFonts w:ascii="Times New Roman" w:hAnsi="Times New Roman" w:cs="Times New Roman"/>
          <w:sz w:val="24"/>
          <w:szCs w:val="24"/>
        </w:rPr>
        <w:t>»</w:t>
      </w:r>
      <w:r w:rsidR="004016BA">
        <w:rPr>
          <w:rStyle w:val="Rimandonotaapidipagina"/>
          <w:rFonts w:ascii="Times New Roman" w:hAnsi="Times New Roman" w:cs="Times New Roman"/>
          <w:sz w:val="24"/>
          <w:szCs w:val="24"/>
        </w:rPr>
        <w:footnoteReference w:id="26"/>
      </w:r>
      <w:r w:rsidR="004016BA">
        <w:rPr>
          <w:rFonts w:ascii="Times New Roman" w:hAnsi="Times New Roman" w:cs="Times New Roman"/>
          <w:sz w:val="24"/>
          <w:szCs w:val="24"/>
        </w:rPr>
        <w:t>. Le esigenze in gioco sono due: la non dispersione di saperi utili al processo in cui entra il verbale di prova altrove formata, e la tutela dei diritti dell'accusato</w:t>
      </w:r>
      <w:r w:rsidR="004016BA">
        <w:rPr>
          <w:rStyle w:val="Rimandonotaapidipagina"/>
          <w:rFonts w:ascii="Times New Roman" w:hAnsi="Times New Roman" w:cs="Times New Roman"/>
          <w:sz w:val="24"/>
          <w:szCs w:val="24"/>
        </w:rPr>
        <w:footnoteReference w:id="27"/>
      </w:r>
      <w:r w:rsidR="004016BA">
        <w:rPr>
          <w:rFonts w:ascii="Times New Roman" w:hAnsi="Times New Roman" w:cs="Times New Roman"/>
          <w:sz w:val="24"/>
          <w:szCs w:val="24"/>
        </w:rPr>
        <w:t xml:space="preserve">. </w:t>
      </w:r>
    </w:p>
    <w:p w:rsidR="00213297" w:rsidRDefault="00213297" w:rsidP="00213297">
      <w:pPr>
        <w:spacing w:after="0"/>
        <w:jc w:val="both"/>
        <w:rPr>
          <w:rFonts w:ascii="Times New Roman" w:hAnsi="Times New Roman" w:cs="Times New Roman"/>
          <w:sz w:val="24"/>
          <w:szCs w:val="24"/>
        </w:rPr>
      </w:pPr>
      <w:r>
        <w:rPr>
          <w:rFonts w:ascii="Times New Roman" w:hAnsi="Times New Roman" w:cs="Times New Roman"/>
          <w:sz w:val="24"/>
          <w:szCs w:val="24"/>
        </w:rPr>
        <w:tab/>
        <w:t xml:space="preserve">L'art. 238, comma 2, </w:t>
      </w:r>
      <w:proofErr w:type="spellStart"/>
      <w:r>
        <w:rPr>
          <w:rFonts w:ascii="Times New Roman" w:hAnsi="Times New Roman" w:cs="Times New Roman"/>
          <w:sz w:val="24"/>
          <w:szCs w:val="24"/>
        </w:rPr>
        <w:t>c.p.p.</w:t>
      </w:r>
      <w:proofErr w:type="spellEnd"/>
      <w:r>
        <w:rPr>
          <w:rFonts w:ascii="Times New Roman" w:hAnsi="Times New Roman" w:cs="Times New Roman"/>
          <w:sz w:val="24"/>
          <w:szCs w:val="24"/>
        </w:rPr>
        <w:t xml:space="preserve"> è applicabile contro l'imputato soltanto «</w:t>
      </w:r>
      <w:r w:rsidRPr="00286CFE">
        <w:rPr>
          <w:rFonts w:ascii="Times New Roman" w:hAnsi="Times New Roman" w:cs="Times New Roman"/>
          <w:sz w:val="24"/>
          <w:szCs w:val="24"/>
        </w:rPr>
        <w:t>se il suo difensore ha partecipato all'assunzione della prova o nei suoi confronti fa stato la sentenza civile</w:t>
      </w:r>
      <w:r>
        <w:rPr>
          <w:rFonts w:ascii="Times New Roman" w:hAnsi="Times New Roman" w:cs="Times New Roman"/>
          <w:sz w:val="24"/>
          <w:szCs w:val="24"/>
        </w:rPr>
        <w:t xml:space="preserve">» (art. 238, comma 2-bis, </w:t>
      </w:r>
      <w:proofErr w:type="spellStart"/>
      <w:r>
        <w:rPr>
          <w:rFonts w:ascii="Times New Roman" w:hAnsi="Times New Roman" w:cs="Times New Roman"/>
          <w:sz w:val="24"/>
          <w:szCs w:val="24"/>
        </w:rPr>
        <w:t>c.p.p.</w:t>
      </w:r>
      <w:proofErr w:type="spellEnd"/>
      <w:r>
        <w:rPr>
          <w:rFonts w:ascii="Times New Roman" w:hAnsi="Times New Roman" w:cs="Times New Roman"/>
          <w:sz w:val="24"/>
          <w:szCs w:val="24"/>
        </w:rPr>
        <w:t xml:space="preserve">). </w:t>
      </w:r>
    </w:p>
    <w:p w:rsidR="00213297" w:rsidRDefault="00213297" w:rsidP="00213297">
      <w:pPr>
        <w:spacing w:after="0"/>
        <w:jc w:val="both"/>
        <w:rPr>
          <w:rFonts w:ascii="Times New Roman" w:hAnsi="Times New Roman" w:cs="Times New Roman"/>
          <w:sz w:val="24"/>
          <w:szCs w:val="24"/>
        </w:rPr>
      </w:pPr>
      <w:r>
        <w:rPr>
          <w:rFonts w:ascii="Times New Roman" w:hAnsi="Times New Roman" w:cs="Times New Roman"/>
          <w:sz w:val="24"/>
          <w:szCs w:val="24"/>
        </w:rPr>
        <w:tab/>
        <w:t xml:space="preserve">Emerge, di tutta evidenza, l'inadeguato apparato di garanzie offerto all'imputato: e, giustamente, guardando all'art. 238, comma 1, </w:t>
      </w:r>
      <w:proofErr w:type="spellStart"/>
      <w:r>
        <w:rPr>
          <w:rFonts w:ascii="Times New Roman" w:hAnsi="Times New Roman" w:cs="Times New Roman"/>
          <w:sz w:val="24"/>
          <w:szCs w:val="24"/>
        </w:rPr>
        <w:t>c.p.p.</w:t>
      </w:r>
      <w:proofErr w:type="spellEnd"/>
      <w:r>
        <w:rPr>
          <w:rFonts w:ascii="Times New Roman" w:hAnsi="Times New Roman" w:cs="Times New Roman"/>
          <w:sz w:val="24"/>
          <w:szCs w:val="24"/>
        </w:rPr>
        <w:t>, s'è detto che «</w:t>
      </w:r>
      <w:r w:rsidRPr="00286CFE">
        <w:rPr>
          <w:rFonts w:ascii="Times New Roman" w:hAnsi="Times New Roman" w:cs="Times New Roman"/>
          <w:sz w:val="24"/>
          <w:szCs w:val="24"/>
        </w:rPr>
        <w:t xml:space="preserve">un contraddittorio riguardante diverse imputazioni e fondato su diversi atti processuali si </w:t>
      </w:r>
      <w:proofErr w:type="spellStart"/>
      <w:r w:rsidRPr="00286CFE">
        <w:rPr>
          <w:rFonts w:ascii="Times New Roman" w:hAnsi="Times New Roman" w:cs="Times New Roman"/>
          <w:sz w:val="24"/>
          <w:szCs w:val="24"/>
        </w:rPr>
        <w:t>traduc</w:t>
      </w:r>
      <w:proofErr w:type="spellEnd"/>
      <w:r w:rsidRPr="00286CFE">
        <w:rPr>
          <w:rFonts w:ascii="Times New Roman" w:hAnsi="Times New Roman" w:cs="Times New Roman"/>
          <w:sz w:val="24"/>
          <w:szCs w:val="24"/>
        </w:rPr>
        <w:t xml:space="preserve">[e] in una </w:t>
      </w:r>
      <w:proofErr w:type="spellStart"/>
      <w:r w:rsidRPr="00286CFE">
        <w:rPr>
          <w:rFonts w:ascii="Times New Roman" w:hAnsi="Times New Roman" w:cs="Times New Roman"/>
          <w:sz w:val="24"/>
          <w:szCs w:val="24"/>
        </w:rPr>
        <w:t>pseudo-garanzia</w:t>
      </w:r>
      <w:proofErr w:type="spellEnd"/>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28"/>
      </w:r>
      <w:r>
        <w:rPr>
          <w:rFonts w:ascii="Times New Roman" w:hAnsi="Times New Roman" w:cs="Times New Roman"/>
          <w:sz w:val="24"/>
          <w:szCs w:val="24"/>
        </w:rPr>
        <w:t xml:space="preserve">; l'argomento prende ancor più vigore nei rapporti tra giudizi civile e penale, visto che non solo vertono su domande necessariamente diverse, ma si reggono secondo regole, in prima battuta istruttorie, differenti. </w:t>
      </w:r>
    </w:p>
    <w:p w:rsidR="00213297" w:rsidRDefault="00213297" w:rsidP="00213297">
      <w:pPr>
        <w:spacing w:after="0"/>
        <w:jc w:val="both"/>
        <w:rPr>
          <w:rFonts w:ascii="Times New Roman" w:hAnsi="Times New Roman" w:cs="Times New Roman"/>
          <w:sz w:val="24"/>
          <w:szCs w:val="24"/>
        </w:rPr>
      </w:pPr>
      <w:r>
        <w:rPr>
          <w:rFonts w:ascii="Times New Roman" w:hAnsi="Times New Roman" w:cs="Times New Roman"/>
          <w:sz w:val="24"/>
          <w:szCs w:val="24"/>
        </w:rPr>
        <w:tab/>
        <w:t>Fa da contraltare l'inciso «</w:t>
      </w:r>
      <w:r w:rsidRPr="00286CFE">
        <w:rPr>
          <w:rFonts w:ascii="Times New Roman" w:hAnsi="Times New Roman" w:cs="Times New Roman"/>
          <w:sz w:val="24"/>
          <w:szCs w:val="24"/>
        </w:rPr>
        <w:t>contro l'imputato</w:t>
      </w:r>
      <w:r>
        <w:rPr>
          <w:rFonts w:ascii="Times New Roman" w:hAnsi="Times New Roman" w:cs="Times New Roman"/>
          <w:sz w:val="24"/>
          <w:szCs w:val="24"/>
        </w:rPr>
        <w:t xml:space="preserve">», da cui si presagisce che l'art. 238, comma 2-bis, </w:t>
      </w:r>
      <w:proofErr w:type="spellStart"/>
      <w:r>
        <w:rPr>
          <w:rFonts w:ascii="Times New Roman" w:hAnsi="Times New Roman" w:cs="Times New Roman"/>
          <w:sz w:val="24"/>
          <w:szCs w:val="24"/>
        </w:rPr>
        <w:t>c.p.p.</w:t>
      </w:r>
      <w:proofErr w:type="spellEnd"/>
      <w:r>
        <w:rPr>
          <w:rFonts w:ascii="Times New Roman" w:hAnsi="Times New Roman" w:cs="Times New Roman"/>
          <w:sz w:val="24"/>
          <w:szCs w:val="24"/>
        </w:rPr>
        <w:t xml:space="preserve"> non si applichi se l'acquisizione proveniente dal contenzioso civile vada usata, nel penale, a favore dell'accusato: se così non fosse, il legislatore avrebbe mantenuto la dicitura vigente </w:t>
      </w:r>
      <w:r>
        <w:rPr>
          <w:rFonts w:ascii="Times New Roman" w:hAnsi="Times New Roman" w:cs="Times New Roman"/>
          <w:i/>
          <w:sz w:val="24"/>
          <w:szCs w:val="24"/>
        </w:rPr>
        <w:t>ante</w:t>
      </w:r>
      <w:r>
        <w:rPr>
          <w:rFonts w:ascii="Times New Roman" w:hAnsi="Times New Roman" w:cs="Times New Roman"/>
          <w:sz w:val="24"/>
          <w:szCs w:val="24"/>
        </w:rPr>
        <w:t xml:space="preserve"> 2001, «</w:t>
      </w:r>
      <w:r w:rsidRPr="00286CFE">
        <w:rPr>
          <w:rFonts w:ascii="Times New Roman" w:hAnsi="Times New Roman" w:cs="Times New Roman"/>
          <w:sz w:val="24"/>
          <w:szCs w:val="24"/>
        </w:rPr>
        <w:t>nei confronti dell'imputato»</w:t>
      </w:r>
      <w:r w:rsidRPr="00286CFE">
        <w:rPr>
          <w:rStyle w:val="Rimandonotaapidipagina"/>
          <w:rFonts w:ascii="Times New Roman" w:hAnsi="Times New Roman" w:cs="Times New Roman"/>
          <w:sz w:val="24"/>
          <w:szCs w:val="24"/>
        </w:rPr>
        <w:footnoteReference w:id="29"/>
      </w:r>
      <w:r>
        <w:rPr>
          <w:rFonts w:ascii="Times New Roman" w:hAnsi="Times New Roman" w:cs="Times New Roman"/>
          <w:sz w:val="24"/>
          <w:szCs w:val="24"/>
        </w:rPr>
        <w:t>.</w:t>
      </w:r>
      <w:r w:rsidR="003D15CE">
        <w:rPr>
          <w:rFonts w:ascii="Times New Roman" w:hAnsi="Times New Roman" w:cs="Times New Roman"/>
          <w:sz w:val="24"/>
          <w:szCs w:val="24"/>
        </w:rPr>
        <w:t xml:space="preserve"> Certo, qualche autore ha sostenuto come la conclusione appena rappresentata contrasti con </w:t>
      </w:r>
      <w:r w:rsidR="003D15CE" w:rsidRPr="00286CFE">
        <w:rPr>
          <w:rFonts w:ascii="Times New Roman" w:hAnsi="Times New Roman" w:cs="Times New Roman"/>
          <w:sz w:val="24"/>
          <w:szCs w:val="24"/>
        </w:rPr>
        <w:t xml:space="preserve">«un’idea di </w:t>
      </w:r>
      <w:r w:rsidR="003D15CE" w:rsidRPr="00286CFE">
        <w:rPr>
          <w:rFonts w:ascii="Times New Roman" w:hAnsi="Times New Roman" w:cs="Times New Roman"/>
          <w:sz w:val="24"/>
          <w:szCs w:val="24"/>
        </w:rPr>
        <w:lastRenderedPageBreak/>
        <w:t>contraddittorio come metodo infungibile di conoscenza, di ricostruzione dei fatti</w:t>
      </w:r>
      <w:r w:rsidR="003D15CE">
        <w:rPr>
          <w:rFonts w:ascii="Times New Roman" w:hAnsi="Times New Roman" w:cs="Times New Roman"/>
          <w:sz w:val="24"/>
          <w:szCs w:val="24"/>
        </w:rPr>
        <w:t>»</w:t>
      </w:r>
      <w:r w:rsidR="003D15CE">
        <w:rPr>
          <w:rStyle w:val="Rimandonotaapidipagina"/>
          <w:rFonts w:ascii="Times New Roman" w:hAnsi="Times New Roman" w:cs="Times New Roman"/>
          <w:sz w:val="24"/>
          <w:szCs w:val="24"/>
        </w:rPr>
        <w:footnoteReference w:id="30"/>
      </w:r>
      <w:r w:rsidR="003D15CE">
        <w:rPr>
          <w:rFonts w:ascii="Times New Roman" w:hAnsi="Times New Roman" w:cs="Times New Roman"/>
          <w:sz w:val="24"/>
          <w:szCs w:val="24"/>
        </w:rPr>
        <w:t xml:space="preserve">: essa, però, ha il duplice pregio di aderire alla </w:t>
      </w:r>
      <w:proofErr w:type="spellStart"/>
      <w:r w:rsidR="003D15CE">
        <w:rPr>
          <w:rFonts w:ascii="Times New Roman" w:hAnsi="Times New Roman" w:cs="Times New Roman"/>
          <w:i/>
          <w:sz w:val="24"/>
          <w:szCs w:val="24"/>
        </w:rPr>
        <w:t>littera</w:t>
      </w:r>
      <w:proofErr w:type="spellEnd"/>
      <w:r w:rsidR="003D15CE">
        <w:rPr>
          <w:rFonts w:ascii="Times New Roman" w:hAnsi="Times New Roman" w:cs="Times New Roman"/>
          <w:i/>
          <w:sz w:val="24"/>
          <w:szCs w:val="24"/>
        </w:rPr>
        <w:t xml:space="preserve"> </w:t>
      </w:r>
      <w:proofErr w:type="spellStart"/>
      <w:r w:rsidR="003D15CE">
        <w:rPr>
          <w:rFonts w:ascii="Times New Roman" w:hAnsi="Times New Roman" w:cs="Times New Roman"/>
          <w:i/>
          <w:sz w:val="24"/>
          <w:szCs w:val="24"/>
        </w:rPr>
        <w:t>legis</w:t>
      </w:r>
      <w:proofErr w:type="spellEnd"/>
      <w:r w:rsidR="003D15CE">
        <w:rPr>
          <w:rFonts w:ascii="Times New Roman" w:hAnsi="Times New Roman" w:cs="Times New Roman"/>
          <w:sz w:val="24"/>
          <w:szCs w:val="24"/>
        </w:rPr>
        <w:t xml:space="preserve"> e di offrire un punto di incontro tra esigenze di conservazione della prova e garanzie per l'imputato. </w:t>
      </w:r>
    </w:p>
    <w:p w:rsidR="003D15CE" w:rsidRDefault="003D15CE" w:rsidP="00213297">
      <w:pPr>
        <w:spacing w:after="0"/>
        <w:jc w:val="both"/>
        <w:rPr>
          <w:rFonts w:ascii="Times New Roman" w:hAnsi="Times New Roman" w:cs="Times New Roman"/>
          <w:sz w:val="24"/>
          <w:szCs w:val="24"/>
        </w:rPr>
      </w:pPr>
      <w:r>
        <w:rPr>
          <w:rFonts w:ascii="Times New Roman" w:hAnsi="Times New Roman" w:cs="Times New Roman"/>
          <w:sz w:val="24"/>
          <w:szCs w:val="24"/>
        </w:rPr>
        <w:tab/>
        <w:t xml:space="preserve">La soluzione è, poi, ulteriormente complicata dalla seconda condizione posta dall'art. 238, comma 2-bis, </w:t>
      </w:r>
      <w:proofErr w:type="spellStart"/>
      <w:r>
        <w:rPr>
          <w:rFonts w:ascii="Times New Roman" w:hAnsi="Times New Roman" w:cs="Times New Roman"/>
          <w:sz w:val="24"/>
          <w:szCs w:val="24"/>
        </w:rPr>
        <w:t>c.p.p.</w:t>
      </w:r>
      <w:proofErr w:type="spellEnd"/>
      <w:r>
        <w:rPr>
          <w:rFonts w:ascii="Times New Roman" w:hAnsi="Times New Roman" w:cs="Times New Roman"/>
          <w:sz w:val="24"/>
          <w:szCs w:val="24"/>
        </w:rPr>
        <w:t xml:space="preserve">: se il difensore dell'imputato non ha partecipato all'assunzione della prova nel giudizio civile, occorre che la prova </w:t>
      </w:r>
      <w:r>
        <w:rPr>
          <w:rFonts w:ascii="Times New Roman" w:hAnsi="Times New Roman" w:cs="Times New Roman"/>
          <w:i/>
          <w:sz w:val="24"/>
          <w:szCs w:val="24"/>
        </w:rPr>
        <w:t xml:space="preserve">contra </w:t>
      </w:r>
      <w:proofErr w:type="spellStart"/>
      <w:r>
        <w:rPr>
          <w:rFonts w:ascii="Times New Roman" w:hAnsi="Times New Roman" w:cs="Times New Roman"/>
          <w:i/>
          <w:sz w:val="24"/>
          <w:szCs w:val="24"/>
        </w:rPr>
        <w:t>reum</w:t>
      </w:r>
      <w:proofErr w:type="spellEnd"/>
      <w:r>
        <w:rPr>
          <w:rFonts w:ascii="Times New Roman" w:hAnsi="Times New Roman" w:cs="Times New Roman"/>
          <w:sz w:val="24"/>
          <w:szCs w:val="24"/>
        </w:rPr>
        <w:t xml:space="preserve"> sia stata acquisita in un contenzioso chiusosi con sentenza che faccia stato verso l'imputato.</w:t>
      </w:r>
    </w:p>
    <w:p w:rsidR="004016BA" w:rsidRDefault="003D15CE" w:rsidP="004016BA">
      <w:pPr>
        <w:spacing w:after="0"/>
        <w:jc w:val="both"/>
        <w:rPr>
          <w:rFonts w:ascii="Times New Roman" w:hAnsi="Times New Roman" w:cs="Times New Roman"/>
          <w:sz w:val="24"/>
          <w:szCs w:val="24"/>
        </w:rPr>
      </w:pPr>
      <w:r>
        <w:rPr>
          <w:rFonts w:ascii="Times New Roman" w:hAnsi="Times New Roman" w:cs="Times New Roman"/>
          <w:sz w:val="24"/>
          <w:szCs w:val="24"/>
        </w:rPr>
        <w:tab/>
        <w:t xml:space="preserve">Il richiamo all'art. 2909 c.c. è immediato: norma votata alla necessità </w:t>
      </w:r>
      <w:r w:rsidR="004016BA">
        <w:rPr>
          <w:rFonts w:ascii="Times New Roman" w:hAnsi="Times New Roman" w:cs="Times New Roman"/>
          <w:sz w:val="24"/>
          <w:szCs w:val="24"/>
        </w:rPr>
        <w:t>di rendere stabili i rapporti patrimoniali</w:t>
      </w:r>
      <w:r w:rsidR="004016BA">
        <w:rPr>
          <w:rStyle w:val="Rimandonotaapidipagina"/>
          <w:rFonts w:ascii="Times New Roman" w:hAnsi="Times New Roman" w:cs="Times New Roman"/>
          <w:sz w:val="24"/>
          <w:szCs w:val="24"/>
        </w:rPr>
        <w:footnoteReference w:id="31"/>
      </w:r>
      <w:r>
        <w:rPr>
          <w:rFonts w:ascii="Times New Roman" w:hAnsi="Times New Roman" w:cs="Times New Roman"/>
          <w:sz w:val="24"/>
          <w:szCs w:val="24"/>
        </w:rPr>
        <w:t xml:space="preserve">, essa permette alla </w:t>
      </w:r>
      <w:r w:rsidR="004016BA">
        <w:rPr>
          <w:rFonts w:ascii="Times New Roman" w:hAnsi="Times New Roman" w:cs="Times New Roman"/>
          <w:sz w:val="24"/>
          <w:szCs w:val="24"/>
        </w:rPr>
        <w:t xml:space="preserve">sentenza civile definitiva </w:t>
      </w:r>
      <w:r>
        <w:rPr>
          <w:rFonts w:ascii="Times New Roman" w:hAnsi="Times New Roman" w:cs="Times New Roman"/>
          <w:sz w:val="24"/>
          <w:szCs w:val="24"/>
        </w:rPr>
        <w:t>di produrre</w:t>
      </w:r>
      <w:r w:rsidR="004016BA">
        <w:rPr>
          <w:rFonts w:ascii="Times New Roman" w:hAnsi="Times New Roman" w:cs="Times New Roman"/>
          <w:sz w:val="24"/>
          <w:szCs w:val="24"/>
        </w:rPr>
        <w:t xml:space="preserve"> effetti – appunto, </w:t>
      </w:r>
      <w:r>
        <w:rPr>
          <w:rFonts w:ascii="Times New Roman" w:hAnsi="Times New Roman" w:cs="Times New Roman"/>
          <w:sz w:val="24"/>
          <w:szCs w:val="24"/>
        </w:rPr>
        <w:t xml:space="preserve">di </w:t>
      </w:r>
      <w:r w:rsidR="004016BA" w:rsidRPr="003D15CE">
        <w:rPr>
          <w:rFonts w:ascii="Times New Roman" w:hAnsi="Times New Roman" w:cs="Times New Roman"/>
          <w:i/>
          <w:sz w:val="24"/>
          <w:szCs w:val="24"/>
        </w:rPr>
        <w:t>fa</w:t>
      </w:r>
      <w:r w:rsidRPr="003D15CE">
        <w:rPr>
          <w:rFonts w:ascii="Times New Roman" w:hAnsi="Times New Roman" w:cs="Times New Roman"/>
          <w:i/>
          <w:sz w:val="24"/>
          <w:szCs w:val="24"/>
        </w:rPr>
        <w:t>re</w:t>
      </w:r>
      <w:r w:rsidR="004016BA" w:rsidRPr="003D15CE">
        <w:rPr>
          <w:rFonts w:ascii="Times New Roman" w:hAnsi="Times New Roman" w:cs="Times New Roman"/>
          <w:i/>
          <w:sz w:val="24"/>
          <w:szCs w:val="24"/>
        </w:rPr>
        <w:t xml:space="preserve"> stato</w:t>
      </w:r>
      <w:r w:rsidR="004016BA">
        <w:rPr>
          <w:rFonts w:ascii="Times New Roman" w:hAnsi="Times New Roman" w:cs="Times New Roman"/>
          <w:sz w:val="24"/>
          <w:szCs w:val="24"/>
        </w:rPr>
        <w:t xml:space="preserve"> – verso le parti, i loro eredi e aventi causa. Così, accogliendo la tesi per cui il giudicato si forma nelle sole sentenze che «</w:t>
      </w:r>
      <w:r w:rsidR="004016BA" w:rsidRPr="00286CFE">
        <w:rPr>
          <w:rFonts w:ascii="Times New Roman" w:hAnsi="Times New Roman" w:cs="Times New Roman"/>
          <w:sz w:val="24"/>
          <w:szCs w:val="24"/>
        </w:rPr>
        <w:t>riconoscono o disconoscono un bene della vita ad una delle parti</w:t>
      </w:r>
      <w:r w:rsidR="004016BA">
        <w:rPr>
          <w:rFonts w:ascii="Times New Roman" w:hAnsi="Times New Roman" w:cs="Times New Roman"/>
          <w:sz w:val="24"/>
          <w:szCs w:val="24"/>
        </w:rPr>
        <w:t>»</w:t>
      </w:r>
      <w:r w:rsidR="004016BA">
        <w:rPr>
          <w:rStyle w:val="Rimandonotaapidipagina"/>
          <w:rFonts w:ascii="Times New Roman" w:hAnsi="Times New Roman" w:cs="Times New Roman"/>
          <w:sz w:val="24"/>
          <w:szCs w:val="24"/>
        </w:rPr>
        <w:footnoteReference w:id="32"/>
      </w:r>
      <w:r w:rsidR="004016BA">
        <w:rPr>
          <w:rFonts w:ascii="Times New Roman" w:hAnsi="Times New Roman" w:cs="Times New Roman"/>
          <w:sz w:val="24"/>
          <w:szCs w:val="24"/>
        </w:rPr>
        <w:t xml:space="preserve">, se la pronuncia esplica efficacia anche verso l'imputato in quanto erede o avente causa di una delle parti, si applica l'art. 238, comma 2-bis, </w:t>
      </w:r>
      <w:proofErr w:type="spellStart"/>
      <w:r w:rsidR="004016BA">
        <w:rPr>
          <w:rFonts w:ascii="Times New Roman" w:hAnsi="Times New Roman" w:cs="Times New Roman"/>
          <w:sz w:val="24"/>
          <w:szCs w:val="24"/>
        </w:rPr>
        <w:t>c.p.p.</w:t>
      </w:r>
      <w:proofErr w:type="spellEnd"/>
      <w:r w:rsidR="004016BA">
        <w:rPr>
          <w:rFonts w:ascii="Times New Roman" w:hAnsi="Times New Roman" w:cs="Times New Roman"/>
          <w:sz w:val="24"/>
          <w:szCs w:val="24"/>
        </w:rPr>
        <w:t xml:space="preserve"> e l'accertamento del giudice civile entra nel processo penale, anche se l'imputato non ha mai partecipato, nemmeno attraverso il proprio difensore, al contenzioso civile. </w:t>
      </w:r>
    </w:p>
    <w:p w:rsidR="004016BA" w:rsidRPr="00003F90" w:rsidRDefault="004016BA" w:rsidP="004016BA">
      <w:pPr>
        <w:spacing w:after="0"/>
        <w:jc w:val="both"/>
        <w:rPr>
          <w:rFonts w:ascii="Times New Roman" w:hAnsi="Times New Roman" w:cs="Times New Roman"/>
          <w:sz w:val="24"/>
          <w:szCs w:val="24"/>
        </w:rPr>
      </w:pPr>
      <w:r>
        <w:rPr>
          <w:rFonts w:ascii="Times New Roman" w:hAnsi="Times New Roman" w:cs="Times New Roman"/>
          <w:sz w:val="24"/>
          <w:szCs w:val="24"/>
        </w:rPr>
        <w:tab/>
        <w:t>Ne derivano alcune possibili situazioni, in cui il sacrificio del contraddittorio è evidente:</w:t>
      </w:r>
    </w:p>
    <w:p w:rsidR="004016BA" w:rsidRDefault="004016BA" w:rsidP="004016BA">
      <w:pPr>
        <w:spacing w:after="0"/>
        <w:jc w:val="both"/>
        <w:rPr>
          <w:rFonts w:ascii="Times New Roman" w:hAnsi="Times New Roman" w:cs="Times New Roman"/>
          <w:sz w:val="24"/>
          <w:szCs w:val="24"/>
        </w:rPr>
      </w:pPr>
      <w:r>
        <w:rPr>
          <w:rFonts w:ascii="Times New Roman" w:hAnsi="Times New Roman" w:cs="Times New Roman"/>
          <w:i/>
          <w:sz w:val="24"/>
          <w:szCs w:val="24"/>
        </w:rPr>
        <w:tab/>
        <w:t>a)</w:t>
      </w:r>
      <w:r>
        <w:rPr>
          <w:rFonts w:ascii="Times New Roman" w:hAnsi="Times New Roman" w:cs="Times New Roman"/>
          <w:sz w:val="24"/>
          <w:szCs w:val="24"/>
        </w:rPr>
        <w:t xml:space="preserve"> nel giudizio civile è acquisita una prova che deve entrare nel penale </w:t>
      </w:r>
      <w:r>
        <w:rPr>
          <w:rFonts w:ascii="Times New Roman" w:hAnsi="Times New Roman" w:cs="Times New Roman"/>
          <w:i/>
          <w:sz w:val="24"/>
          <w:szCs w:val="24"/>
        </w:rPr>
        <w:t>pro reo</w:t>
      </w:r>
      <w:r>
        <w:rPr>
          <w:rFonts w:ascii="Times New Roman" w:hAnsi="Times New Roman" w:cs="Times New Roman"/>
          <w:sz w:val="24"/>
          <w:szCs w:val="24"/>
        </w:rPr>
        <w:t xml:space="preserve">: in questo caso, l'art. 238, comma 2-bis, </w:t>
      </w:r>
      <w:proofErr w:type="spellStart"/>
      <w:r>
        <w:rPr>
          <w:rFonts w:ascii="Times New Roman" w:hAnsi="Times New Roman" w:cs="Times New Roman"/>
          <w:sz w:val="24"/>
          <w:szCs w:val="24"/>
        </w:rPr>
        <w:t>c.p.p.</w:t>
      </w:r>
      <w:proofErr w:type="spellEnd"/>
      <w:r>
        <w:rPr>
          <w:rFonts w:ascii="Times New Roman" w:hAnsi="Times New Roman" w:cs="Times New Roman"/>
          <w:sz w:val="24"/>
          <w:szCs w:val="24"/>
        </w:rPr>
        <w:t xml:space="preserve"> non entra in gioco, bastando che la sentenza conclusiva del contenzioso civile sia definitiva</w:t>
      </w:r>
      <w:r>
        <w:rPr>
          <w:rStyle w:val="Rimandonotaapidipagina"/>
          <w:rFonts w:ascii="Times New Roman" w:hAnsi="Times New Roman" w:cs="Times New Roman"/>
          <w:sz w:val="24"/>
          <w:szCs w:val="24"/>
        </w:rPr>
        <w:footnoteReference w:id="33"/>
      </w:r>
      <w:r>
        <w:rPr>
          <w:rFonts w:ascii="Times New Roman" w:hAnsi="Times New Roman" w:cs="Times New Roman"/>
          <w:sz w:val="24"/>
          <w:szCs w:val="24"/>
        </w:rPr>
        <w:t xml:space="preserve">; </w:t>
      </w:r>
    </w:p>
    <w:p w:rsidR="004016BA" w:rsidRDefault="004016BA" w:rsidP="004016BA">
      <w:pPr>
        <w:spacing w:after="0"/>
        <w:jc w:val="both"/>
        <w:rPr>
          <w:rFonts w:ascii="Times New Roman" w:hAnsi="Times New Roman" w:cs="Times New Roman"/>
          <w:sz w:val="24"/>
          <w:szCs w:val="24"/>
        </w:rPr>
      </w:pPr>
      <w:r>
        <w:rPr>
          <w:rFonts w:ascii="Times New Roman" w:hAnsi="Times New Roman" w:cs="Times New Roman"/>
          <w:i/>
          <w:sz w:val="24"/>
          <w:szCs w:val="24"/>
        </w:rPr>
        <w:tab/>
        <w:t xml:space="preserve">b) </w:t>
      </w:r>
      <w:r>
        <w:rPr>
          <w:rFonts w:ascii="Times New Roman" w:hAnsi="Times New Roman" w:cs="Times New Roman"/>
          <w:sz w:val="24"/>
          <w:szCs w:val="24"/>
        </w:rPr>
        <w:t xml:space="preserve">nel giudizio civile è acquisita una prova che deve entrare nel penale </w:t>
      </w:r>
      <w:r>
        <w:rPr>
          <w:rFonts w:ascii="Times New Roman" w:hAnsi="Times New Roman" w:cs="Times New Roman"/>
          <w:i/>
          <w:sz w:val="24"/>
          <w:szCs w:val="24"/>
        </w:rPr>
        <w:t xml:space="preserve">contra </w:t>
      </w:r>
      <w:proofErr w:type="spellStart"/>
      <w:r>
        <w:rPr>
          <w:rFonts w:ascii="Times New Roman" w:hAnsi="Times New Roman" w:cs="Times New Roman"/>
          <w:i/>
          <w:sz w:val="24"/>
          <w:szCs w:val="24"/>
        </w:rPr>
        <w:t>reum</w:t>
      </w:r>
      <w:proofErr w:type="spellEnd"/>
      <w:r>
        <w:rPr>
          <w:rFonts w:ascii="Times New Roman" w:hAnsi="Times New Roman" w:cs="Times New Roman"/>
          <w:sz w:val="24"/>
          <w:szCs w:val="24"/>
        </w:rPr>
        <w:t xml:space="preserve">: in questo caso si applica l'art. 238, comma 2-bis, </w:t>
      </w:r>
      <w:proofErr w:type="spellStart"/>
      <w:r>
        <w:rPr>
          <w:rFonts w:ascii="Times New Roman" w:hAnsi="Times New Roman" w:cs="Times New Roman"/>
          <w:sz w:val="24"/>
          <w:szCs w:val="24"/>
        </w:rPr>
        <w:t>c.p.p.</w:t>
      </w:r>
      <w:proofErr w:type="spellEnd"/>
      <w:r>
        <w:rPr>
          <w:rFonts w:ascii="Times New Roman" w:hAnsi="Times New Roman" w:cs="Times New Roman"/>
          <w:sz w:val="24"/>
          <w:szCs w:val="24"/>
        </w:rPr>
        <w:t xml:space="preserve"> e si verificano due ulteriori, possibili, situazioni, tra loro alternative:</w:t>
      </w:r>
    </w:p>
    <w:p w:rsidR="004016BA" w:rsidRDefault="004016BA" w:rsidP="004016BA">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b1)</w:t>
      </w:r>
      <w:r>
        <w:rPr>
          <w:rFonts w:ascii="Times New Roman" w:hAnsi="Times New Roman" w:cs="Times New Roman"/>
          <w:sz w:val="24"/>
          <w:szCs w:val="24"/>
        </w:rPr>
        <w:t xml:space="preserve"> al giudizio civile ha partecipato il difensore dell'imputato, nel qual caso il giudice penale acquisisce la prova già assunta nel civile;</w:t>
      </w:r>
    </w:p>
    <w:p w:rsidR="004016BA" w:rsidRDefault="004016BA" w:rsidP="004016BA">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b2)</w:t>
      </w:r>
      <w:r>
        <w:rPr>
          <w:rFonts w:ascii="Times New Roman" w:hAnsi="Times New Roman" w:cs="Times New Roman"/>
          <w:sz w:val="24"/>
          <w:szCs w:val="24"/>
        </w:rPr>
        <w:t xml:space="preserve"> la sentenza conclusiva del giudizio civile fa stato verso l'imputato, nel qual caso il giudice penale acquisisce la prova già assunta nel civile, indipendentemente dalla partecipazione dell'accusato a quel contenzioso. Rispetto a questa ipotesi, così, si palesano due ulteriori, possibili, scenari:</w:t>
      </w:r>
    </w:p>
    <w:p w:rsidR="004016BA" w:rsidRDefault="004016BA" w:rsidP="004016B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i/>
          <w:sz w:val="24"/>
          <w:szCs w:val="24"/>
        </w:rPr>
        <w:t xml:space="preserve">b2a) </w:t>
      </w:r>
      <w:r>
        <w:rPr>
          <w:rFonts w:ascii="Times New Roman" w:hAnsi="Times New Roman" w:cs="Times New Roman"/>
          <w:sz w:val="24"/>
          <w:szCs w:val="24"/>
        </w:rPr>
        <w:t xml:space="preserve">l'imputato era parte del giudizio civile, sicché, in punto di contraddittorio, la situazione non diverge troppo da quella descritta </w:t>
      </w:r>
      <w:r>
        <w:rPr>
          <w:rFonts w:ascii="Times New Roman" w:hAnsi="Times New Roman" w:cs="Times New Roman"/>
          <w:i/>
          <w:sz w:val="24"/>
          <w:szCs w:val="24"/>
        </w:rPr>
        <w:t>sub b1)</w:t>
      </w:r>
      <w:r>
        <w:rPr>
          <w:rFonts w:ascii="Times New Roman" w:hAnsi="Times New Roman" w:cs="Times New Roman"/>
          <w:sz w:val="24"/>
          <w:szCs w:val="24"/>
        </w:rPr>
        <w:t>;</w:t>
      </w:r>
    </w:p>
    <w:p w:rsidR="004016BA" w:rsidRDefault="004016BA" w:rsidP="004016BA">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b2b)</w:t>
      </w:r>
      <w:r>
        <w:rPr>
          <w:rFonts w:ascii="Times New Roman" w:hAnsi="Times New Roman" w:cs="Times New Roman"/>
          <w:sz w:val="24"/>
          <w:szCs w:val="24"/>
        </w:rPr>
        <w:t xml:space="preserve"> l'imputato non era parte del giudizio civile, essendolo stati, invece, suoi dante causa o altri soggetti di cui è erede. La fattispecie sottolinea la criticità in fatto di garanzie per l'accusato: riprendendo il distinguo tra accezioni oggettiva e soggettiva del contraddittorio, ed esaltando, in tal contesto, la seconda, il sacrificio della posizione dell'imputato a vantaggio della conservazione della prova è ingiustificabile. E lo è ancor di più, se si considera l'intrinseca difformità ontologica tra accertamenti civile e penale. </w:t>
      </w:r>
    </w:p>
    <w:p w:rsidR="004016BA" w:rsidRDefault="004016BA" w:rsidP="003D15CE">
      <w:pPr>
        <w:spacing w:after="0"/>
        <w:jc w:val="both"/>
        <w:rPr>
          <w:rFonts w:ascii="Times New Roman" w:hAnsi="Times New Roman" w:cs="Times New Roman"/>
          <w:sz w:val="24"/>
          <w:szCs w:val="24"/>
        </w:rPr>
      </w:pPr>
      <w:r>
        <w:rPr>
          <w:rFonts w:ascii="Times New Roman" w:hAnsi="Times New Roman" w:cs="Times New Roman"/>
          <w:sz w:val="24"/>
          <w:szCs w:val="24"/>
        </w:rPr>
        <w:tab/>
      </w:r>
      <w:r w:rsidR="003D15CE">
        <w:rPr>
          <w:rFonts w:ascii="Times New Roman" w:hAnsi="Times New Roman" w:cs="Times New Roman"/>
          <w:sz w:val="24"/>
          <w:szCs w:val="24"/>
        </w:rPr>
        <w:t xml:space="preserve">Chiude il cerchio l'art. 238, comma 4, </w:t>
      </w:r>
      <w:proofErr w:type="spellStart"/>
      <w:r w:rsidR="003D15CE">
        <w:rPr>
          <w:rFonts w:ascii="Times New Roman" w:hAnsi="Times New Roman" w:cs="Times New Roman"/>
          <w:sz w:val="24"/>
          <w:szCs w:val="24"/>
        </w:rPr>
        <w:t>c.p.p.</w:t>
      </w:r>
      <w:proofErr w:type="spellEnd"/>
      <w:r w:rsidR="003D15CE">
        <w:rPr>
          <w:rFonts w:ascii="Times New Roman" w:hAnsi="Times New Roman" w:cs="Times New Roman"/>
          <w:sz w:val="24"/>
          <w:szCs w:val="24"/>
        </w:rPr>
        <w:t xml:space="preserve"> che permette l'uso dei verbali di prova, anche al di fuori delle ipotesi descritte dal comma 2, qualora l'imputato – anche per il tramite del suo difensore</w:t>
      </w:r>
      <w:r w:rsidR="003D15CE">
        <w:rPr>
          <w:rStyle w:val="Rimandonotaapidipagina"/>
          <w:rFonts w:ascii="Times New Roman" w:hAnsi="Times New Roman" w:cs="Times New Roman"/>
          <w:sz w:val="24"/>
          <w:szCs w:val="24"/>
        </w:rPr>
        <w:footnoteReference w:id="34"/>
      </w:r>
      <w:r w:rsidR="003D15CE">
        <w:rPr>
          <w:rFonts w:ascii="Times New Roman" w:hAnsi="Times New Roman" w:cs="Times New Roman"/>
          <w:sz w:val="24"/>
          <w:szCs w:val="24"/>
        </w:rPr>
        <w:t xml:space="preserve"> – vi consenta, fermo restando il loro possibile impiego a fini di contestazione</w:t>
      </w:r>
      <w:r w:rsidR="003D15CE">
        <w:rPr>
          <w:rStyle w:val="Rimandonotaapidipagina"/>
          <w:rFonts w:ascii="Times New Roman" w:hAnsi="Times New Roman" w:cs="Times New Roman"/>
          <w:sz w:val="24"/>
          <w:szCs w:val="24"/>
        </w:rPr>
        <w:footnoteReference w:id="35"/>
      </w:r>
      <w:r w:rsidR="003D15CE">
        <w:rPr>
          <w:rFonts w:ascii="Times New Roman" w:hAnsi="Times New Roman" w:cs="Times New Roman"/>
          <w:sz w:val="24"/>
          <w:szCs w:val="24"/>
        </w:rPr>
        <w:t>.</w:t>
      </w:r>
    </w:p>
    <w:p w:rsidR="004016BA" w:rsidRDefault="003D15CE" w:rsidP="00DF3FC3">
      <w:pPr>
        <w:spacing w:after="0"/>
        <w:jc w:val="both"/>
        <w:rPr>
          <w:rFonts w:ascii="Times New Roman" w:hAnsi="Times New Roman" w:cs="Times New Roman"/>
          <w:sz w:val="24"/>
          <w:szCs w:val="24"/>
        </w:rPr>
      </w:pPr>
      <w:r>
        <w:rPr>
          <w:rFonts w:ascii="Times New Roman" w:hAnsi="Times New Roman" w:cs="Times New Roman"/>
          <w:sz w:val="24"/>
          <w:szCs w:val="24"/>
        </w:rPr>
        <w:tab/>
      </w:r>
      <w:r w:rsidR="00A54371">
        <w:rPr>
          <w:rFonts w:ascii="Times New Roman" w:hAnsi="Times New Roman" w:cs="Times New Roman"/>
          <w:sz w:val="24"/>
          <w:szCs w:val="24"/>
        </w:rPr>
        <w:t xml:space="preserve">La disamina sull'art. 238 </w:t>
      </w:r>
      <w:proofErr w:type="spellStart"/>
      <w:r w:rsidR="00A54371">
        <w:rPr>
          <w:rFonts w:ascii="Times New Roman" w:hAnsi="Times New Roman" w:cs="Times New Roman"/>
          <w:sz w:val="24"/>
          <w:szCs w:val="24"/>
        </w:rPr>
        <w:t>c.p.p.</w:t>
      </w:r>
      <w:proofErr w:type="spellEnd"/>
      <w:r w:rsidR="00A54371">
        <w:rPr>
          <w:rFonts w:ascii="Times New Roman" w:hAnsi="Times New Roman" w:cs="Times New Roman"/>
          <w:sz w:val="24"/>
          <w:szCs w:val="24"/>
        </w:rPr>
        <w:t xml:space="preserve"> permette, quindi, di avallare la tesi di chi, in punto di circolazione delle prove tra processi diversi, ha parlato di «subdole eversioni del contraddittorio»</w:t>
      </w:r>
      <w:r w:rsidR="00A54371">
        <w:rPr>
          <w:rStyle w:val="Rimandonotaapidipagina"/>
          <w:rFonts w:ascii="Times New Roman" w:hAnsi="Times New Roman" w:cs="Times New Roman"/>
          <w:sz w:val="24"/>
          <w:szCs w:val="24"/>
        </w:rPr>
        <w:footnoteReference w:id="36"/>
      </w:r>
      <w:r w:rsidR="00A54371">
        <w:rPr>
          <w:rFonts w:ascii="Times New Roman" w:hAnsi="Times New Roman" w:cs="Times New Roman"/>
          <w:sz w:val="24"/>
          <w:szCs w:val="24"/>
        </w:rPr>
        <w:t xml:space="preserve">: l'autore di una così </w:t>
      </w:r>
      <w:proofErr w:type="spellStart"/>
      <w:r w:rsidR="00A54371">
        <w:rPr>
          <w:rFonts w:ascii="Times New Roman" w:hAnsi="Times New Roman" w:cs="Times New Roman"/>
          <w:sz w:val="24"/>
          <w:szCs w:val="24"/>
        </w:rPr>
        <w:t>effiace</w:t>
      </w:r>
      <w:proofErr w:type="spellEnd"/>
      <w:r w:rsidR="00A54371">
        <w:rPr>
          <w:rFonts w:ascii="Times New Roman" w:hAnsi="Times New Roman" w:cs="Times New Roman"/>
          <w:sz w:val="24"/>
          <w:szCs w:val="24"/>
        </w:rPr>
        <w:t xml:space="preserve"> espressione si riferiva all'art. 238-bis </w:t>
      </w:r>
      <w:proofErr w:type="spellStart"/>
      <w:r w:rsidR="00A54371">
        <w:rPr>
          <w:rFonts w:ascii="Times New Roman" w:hAnsi="Times New Roman" w:cs="Times New Roman"/>
          <w:sz w:val="24"/>
          <w:szCs w:val="24"/>
        </w:rPr>
        <w:t>c.p.p.</w:t>
      </w:r>
      <w:proofErr w:type="spellEnd"/>
      <w:r w:rsidR="00A54371">
        <w:rPr>
          <w:rFonts w:ascii="Times New Roman" w:hAnsi="Times New Roman" w:cs="Times New Roman"/>
          <w:sz w:val="24"/>
          <w:szCs w:val="24"/>
        </w:rPr>
        <w:t xml:space="preserve">, ma nulla vieta di applicarla all'art. 238, comma 2, </w:t>
      </w:r>
      <w:proofErr w:type="spellStart"/>
      <w:r w:rsidR="00A54371">
        <w:rPr>
          <w:rFonts w:ascii="Times New Roman" w:hAnsi="Times New Roman" w:cs="Times New Roman"/>
          <w:sz w:val="24"/>
          <w:szCs w:val="24"/>
        </w:rPr>
        <w:t>c.p.p.</w:t>
      </w:r>
      <w:proofErr w:type="spellEnd"/>
      <w:r w:rsidR="00A54371">
        <w:rPr>
          <w:rFonts w:ascii="Times New Roman" w:hAnsi="Times New Roman" w:cs="Times New Roman"/>
          <w:sz w:val="24"/>
          <w:szCs w:val="24"/>
        </w:rPr>
        <w:t xml:space="preserve"> letto in combinato disposto con i successivi commi 2-bis e 4. E, difatti, è ben vero che «in un sistema fondato sul contraddittorio, la circolazione delle prove tra diversi processi ha necessariamente un'estensione molto limitata: una prova può, infatti, essere trasferita da un processo all'altro solo se la difesa dell'imputato, contro il quale viene utilizzata, ha partecipato alla sua formazione, salve le eccezioni contemplate dalla Costituzione (art. 111, comma 5)»</w:t>
      </w:r>
      <w:r w:rsidR="00A54371">
        <w:rPr>
          <w:rStyle w:val="Rimandonotaapidipagina"/>
          <w:rFonts w:ascii="Times New Roman" w:hAnsi="Times New Roman" w:cs="Times New Roman"/>
          <w:sz w:val="24"/>
          <w:szCs w:val="24"/>
        </w:rPr>
        <w:footnoteReference w:id="37"/>
      </w:r>
      <w:r w:rsidR="00A54371">
        <w:rPr>
          <w:rFonts w:ascii="Times New Roman" w:hAnsi="Times New Roman" w:cs="Times New Roman"/>
          <w:sz w:val="24"/>
          <w:szCs w:val="24"/>
        </w:rPr>
        <w:t xml:space="preserve">; lo è del pari che l'art. 238, commi 2 e 2-bis, </w:t>
      </w:r>
      <w:proofErr w:type="spellStart"/>
      <w:r w:rsidR="00A54371">
        <w:rPr>
          <w:rFonts w:ascii="Times New Roman" w:hAnsi="Times New Roman" w:cs="Times New Roman"/>
          <w:sz w:val="24"/>
          <w:szCs w:val="24"/>
        </w:rPr>
        <w:t>c.p.p.</w:t>
      </w:r>
      <w:proofErr w:type="spellEnd"/>
      <w:r w:rsidR="00A54371">
        <w:rPr>
          <w:rFonts w:ascii="Times New Roman" w:hAnsi="Times New Roman" w:cs="Times New Roman"/>
          <w:sz w:val="24"/>
          <w:szCs w:val="24"/>
        </w:rPr>
        <w:t xml:space="preserve">, grazie all'immediato richiamo alla nozione civilistica di giudicato (art. 2909 c.c.), consentono deviazioni dal paradigma in argomento. Più generalmente, poi, l'innesto di atti "civilistici" nel rito penale genera l'accettazione, in quest'ultimo, di regole istruttorie che gli sono estranee: basti pensare alla diversa disciplina della testimonianza tra le due cognizioni e al differente ruolo che in esse gioca la difesa per manifestare più di qualche dubbio circa la compatibilità delle regole appena esaminate con il canone di </w:t>
      </w:r>
      <w:proofErr w:type="spellStart"/>
      <w:r w:rsidR="00A54371">
        <w:rPr>
          <w:rFonts w:ascii="Times New Roman" w:hAnsi="Times New Roman" w:cs="Times New Roman"/>
          <w:sz w:val="24"/>
          <w:szCs w:val="24"/>
        </w:rPr>
        <w:t>accusatorietà</w:t>
      </w:r>
      <w:proofErr w:type="spellEnd"/>
      <w:r w:rsidR="00A54371">
        <w:rPr>
          <w:rFonts w:ascii="Times New Roman" w:hAnsi="Times New Roman" w:cs="Times New Roman"/>
          <w:sz w:val="24"/>
          <w:szCs w:val="24"/>
        </w:rPr>
        <w:t xml:space="preserve"> cui il processo penale italiano pretende di ispirarsi</w:t>
      </w:r>
      <w:r w:rsidR="00A54371">
        <w:rPr>
          <w:rStyle w:val="Rimandonotaapidipagina"/>
          <w:rFonts w:ascii="Times New Roman" w:hAnsi="Times New Roman" w:cs="Times New Roman"/>
          <w:sz w:val="24"/>
          <w:szCs w:val="24"/>
        </w:rPr>
        <w:footnoteReference w:id="38"/>
      </w:r>
      <w:r w:rsidR="00A54371">
        <w:rPr>
          <w:rFonts w:ascii="Times New Roman" w:hAnsi="Times New Roman" w:cs="Times New Roman"/>
          <w:sz w:val="24"/>
          <w:szCs w:val="24"/>
        </w:rPr>
        <w:t>.</w:t>
      </w:r>
    </w:p>
    <w:p w:rsidR="007F0570" w:rsidRDefault="007F0570" w:rsidP="00DF3FC3">
      <w:pPr>
        <w:spacing w:after="0"/>
        <w:jc w:val="both"/>
        <w:rPr>
          <w:rFonts w:ascii="Times New Roman" w:hAnsi="Times New Roman" w:cs="Times New Roman"/>
          <w:sz w:val="24"/>
          <w:szCs w:val="24"/>
        </w:rPr>
      </w:pPr>
    </w:p>
    <w:p w:rsidR="00F27913" w:rsidRPr="00F27913" w:rsidRDefault="007F0570" w:rsidP="00DF3FC3">
      <w:pPr>
        <w:spacing w:after="0"/>
        <w:jc w:val="both"/>
        <w:rPr>
          <w:rFonts w:ascii="Times New Roman" w:hAnsi="Times New Roman" w:cs="Times New Roman"/>
          <w:b/>
          <w:smallCaps/>
          <w:sz w:val="24"/>
          <w:szCs w:val="24"/>
        </w:rPr>
      </w:pPr>
      <w:r>
        <w:rPr>
          <w:rFonts w:ascii="Times New Roman" w:hAnsi="Times New Roman" w:cs="Times New Roman"/>
          <w:b/>
          <w:sz w:val="24"/>
          <w:szCs w:val="24"/>
        </w:rPr>
        <w:t xml:space="preserve">4. </w:t>
      </w:r>
      <w:r w:rsidR="00F27913" w:rsidRPr="00F27913">
        <w:rPr>
          <w:rFonts w:ascii="Times New Roman" w:hAnsi="Times New Roman" w:cs="Times New Roman"/>
          <w:b/>
          <w:smallCaps/>
          <w:sz w:val="24"/>
          <w:szCs w:val="24"/>
        </w:rPr>
        <w:t>Acquisizione della prova civile straniera. Una prima possibile soluzione: il richiamo alla l. n. 218 del 1995 ...</w:t>
      </w:r>
    </w:p>
    <w:p w:rsidR="007F0570" w:rsidRDefault="002512F3" w:rsidP="00DF3FC3">
      <w:pPr>
        <w:spacing w:after="0"/>
        <w:jc w:val="both"/>
        <w:rPr>
          <w:rFonts w:ascii="Times New Roman" w:hAnsi="Times New Roman" w:cs="Times New Roman"/>
          <w:sz w:val="24"/>
          <w:szCs w:val="24"/>
        </w:rPr>
      </w:pPr>
      <w:r>
        <w:rPr>
          <w:rFonts w:ascii="Times New Roman" w:hAnsi="Times New Roman" w:cs="Times New Roman"/>
          <w:sz w:val="24"/>
          <w:szCs w:val="24"/>
        </w:rPr>
        <w:t>Le difficoltà appena considerate si moltiplicano, spostando il centro dell'analisi ai reati che, pur verificandosi all'interno del contesto familiare, trascendono i confini nazionali.</w:t>
      </w:r>
    </w:p>
    <w:p w:rsidR="002512F3" w:rsidRDefault="002512F3" w:rsidP="00DF3FC3">
      <w:pPr>
        <w:spacing w:after="0"/>
        <w:jc w:val="both"/>
        <w:rPr>
          <w:rFonts w:ascii="Times New Roman" w:hAnsi="Times New Roman" w:cs="Times New Roman"/>
          <w:sz w:val="24"/>
          <w:szCs w:val="24"/>
        </w:rPr>
      </w:pPr>
      <w:r>
        <w:rPr>
          <w:rFonts w:ascii="Times New Roman" w:hAnsi="Times New Roman" w:cs="Times New Roman"/>
          <w:sz w:val="24"/>
          <w:szCs w:val="24"/>
        </w:rPr>
        <w:tab/>
        <w:t xml:space="preserve">In quei casi, infatti, l'acquisizione di una prova civile formata all'estero, nel processo penale nostrano non può avvenire secondo l'art. 238, comma 2, </w:t>
      </w:r>
      <w:proofErr w:type="spellStart"/>
      <w:r>
        <w:rPr>
          <w:rFonts w:ascii="Times New Roman" w:hAnsi="Times New Roman" w:cs="Times New Roman"/>
          <w:sz w:val="24"/>
          <w:szCs w:val="24"/>
        </w:rPr>
        <w:t>c.p.p.</w:t>
      </w:r>
      <w:proofErr w:type="spellEnd"/>
      <w:r>
        <w:rPr>
          <w:rFonts w:ascii="Times New Roman" w:hAnsi="Times New Roman" w:cs="Times New Roman"/>
          <w:sz w:val="24"/>
          <w:szCs w:val="24"/>
        </w:rPr>
        <w:t xml:space="preserve">: null'altro specificando, infatti, è ragionevole ritenere che questa norma si riferisca ad un contenzioso sorto e sviluppatosi in Italia. Meno che meno, sarà possibile rinviare all'art. 78 </w:t>
      </w:r>
      <w:proofErr w:type="spellStart"/>
      <w:r>
        <w:rPr>
          <w:rFonts w:ascii="Times New Roman" w:hAnsi="Times New Roman" w:cs="Times New Roman"/>
          <w:sz w:val="24"/>
          <w:szCs w:val="24"/>
        </w:rPr>
        <w:t>disp</w:t>
      </w:r>
      <w:proofErr w:type="spellEnd"/>
      <w:r>
        <w:rPr>
          <w:rFonts w:ascii="Times New Roman" w:hAnsi="Times New Roman" w:cs="Times New Roman"/>
          <w:sz w:val="24"/>
          <w:szCs w:val="24"/>
        </w:rPr>
        <w:t xml:space="preserve">. att. </w:t>
      </w:r>
      <w:proofErr w:type="spellStart"/>
      <w:r>
        <w:rPr>
          <w:rFonts w:ascii="Times New Roman" w:hAnsi="Times New Roman" w:cs="Times New Roman"/>
          <w:sz w:val="24"/>
          <w:szCs w:val="24"/>
        </w:rPr>
        <w:t>c.p.p.</w:t>
      </w:r>
      <w:proofErr w:type="spellEnd"/>
      <w:r>
        <w:rPr>
          <w:rFonts w:ascii="Times New Roman" w:hAnsi="Times New Roman" w:cs="Times New Roman"/>
          <w:sz w:val="24"/>
          <w:szCs w:val="24"/>
        </w:rPr>
        <w:t xml:space="preserve"> che, al comma 1, richiama, sì, un giudizio straniero, ma di materia penalistica. </w:t>
      </w:r>
    </w:p>
    <w:p w:rsidR="002512F3" w:rsidRPr="00577720" w:rsidRDefault="002512F3" w:rsidP="00DF3FC3">
      <w:pPr>
        <w:spacing w:after="0"/>
        <w:jc w:val="both"/>
        <w:rPr>
          <w:rFonts w:ascii="Times New Roman" w:hAnsi="Times New Roman" w:cs="Times New Roman"/>
          <w:vanish/>
          <w:sz w:val="24"/>
          <w:szCs w:val="24"/>
          <w:specVanish/>
        </w:rPr>
      </w:pPr>
      <w:r>
        <w:rPr>
          <w:rFonts w:ascii="Times New Roman" w:hAnsi="Times New Roman" w:cs="Times New Roman"/>
          <w:sz w:val="24"/>
          <w:szCs w:val="24"/>
        </w:rPr>
        <w:tab/>
        <w:t xml:space="preserve">Va, poi, esclusa la possibilità di trattare i materiali in argomento alla stregua di semplici documenti, così da riferirli al paradigma dell'art. 234 </w:t>
      </w:r>
      <w:proofErr w:type="spellStart"/>
      <w:r>
        <w:rPr>
          <w:rFonts w:ascii="Times New Roman" w:hAnsi="Times New Roman" w:cs="Times New Roman"/>
          <w:sz w:val="24"/>
          <w:szCs w:val="24"/>
        </w:rPr>
        <w:t>c.p.p</w:t>
      </w:r>
      <w:r w:rsidR="00577720">
        <w:rPr>
          <w:rFonts w:ascii="Times New Roman" w:hAnsi="Times New Roman" w:cs="Times New Roman"/>
          <w:sz w:val="24"/>
          <w:szCs w:val="24"/>
        </w:rPr>
        <w:t>.</w:t>
      </w:r>
      <w:proofErr w:type="spellEnd"/>
      <w:r w:rsidR="00577720">
        <w:rPr>
          <w:rFonts w:ascii="Times New Roman" w:hAnsi="Times New Roman" w:cs="Times New Roman"/>
          <w:sz w:val="24"/>
          <w:szCs w:val="24"/>
        </w:rPr>
        <w:t>: essi non sono, infatti, semplici «</w:t>
      </w:r>
      <w:r w:rsidR="00577720" w:rsidRPr="00577720">
        <w:rPr>
          <w:rFonts w:ascii="Times New Roman" w:hAnsi="Times New Roman" w:cs="Times New Roman"/>
          <w:sz w:val="24"/>
          <w:szCs w:val="24"/>
        </w:rPr>
        <w:t>entità material</w:t>
      </w:r>
      <w:r w:rsidR="00577720">
        <w:rPr>
          <w:rFonts w:ascii="Times New Roman" w:hAnsi="Times New Roman" w:cs="Times New Roman"/>
          <w:sz w:val="24"/>
          <w:szCs w:val="24"/>
        </w:rPr>
        <w:t>[i]</w:t>
      </w:r>
      <w:r w:rsidR="00577720" w:rsidRPr="00577720">
        <w:rPr>
          <w:rFonts w:ascii="Times New Roman" w:hAnsi="Times New Roman" w:cs="Times New Roman"/>
          <w:sz w:val="24"/>
          <w:szCs w:val="24"/>
        </w:rPr>
        <w:t xml:space="preserve"> intenzionalmente </w:t>
      </w:r>
      <w:proofErr w:type="spellStart"/>
      <w:r w:rsidR="00577720" w:rsidRPr="00577720">
        <w:rPr>
          <w:rFonts w:ascii="Times New Roman" w:hAnsi="Times New Roman" w:cs="Times New Roman"/>
          <w:sz w:val="24"/>
          <w:szCs w:val="24"/>
        </w:rPr>
        <w:t>rappresentativ</w:t>
      </w:r>
      <w:proofErr w:type="spellEnd"/>
      <w:r w:rsidR="00577720">
        <w:rPr>
          <w:rFonts w:ascii="Times New Roman" w:hAnsi="Times New Roman" w:cs="Times New Roman"/>
          <w:sz w:val="24"/>
          <w:szCs w:val="24"/>
        </w:rPr>
        <w:t>[e]</w:t>
      </w:r>
      <w:r w:rsidR="00577720" w:rsidRPr="00577720">
        <w:rPr>
          <w:rFonts w:ascii="Times New Roman" w:hAnsi="Times New Roman" w:cs="Times New Roman"/>
          <w:sz w:val="24"/>
          <w:szCs w:val="24"/>
        </w:rPr>
        <w:t xml:space="preserve"> di altro — giuridicamente rilevante — rispetto alla propria consistenza sensibile</w:t>
      </w:r>
      <w:r w:rsidR="00577720">
        <w:rPr>
          <w:rFonts w:ascii="Times New Roman" w:hAnsi="Times New Roman" w:cs="Times New Roman"/>
          <w:sz w:val="24"/>
          <w:szCs w:val="24"/>
        </w:rPr>
        <w:t>»</w:t>
      </w:r>
      <w:r w:rsidR="00577720">
        <w:rPr>
          <w:rStyle w:val="Rimandonotaapidipagina"/>
          <w:rFonts w:ascii="Times New Roman" w:hAnsi="Times New Roman" w:cs="Times New Roman"/>
          <w:sz w:val="24"/>
          <w:szCs w:val="24"/>
        </w:rPr>
        <w:footnoteReference w:id="39"/>
      </w:r>
    </w:p>
    <w:p w:rsidR="00A54371" w:rsidRDefault="00577720" w:rsidP="00DF3FC3">
      <w:pPr>
        <w:spacing w:after="0"/>
        <w:jc w:val="both"/>
        <w:rPr>
          <w:rFonts w:ascii="Times New Roman" w:hAnsi="Times New Roman" w:cs="Times New Roman"/>
          <w:sz w:val="24"/>
          <w:szCs w:val="24"/>
        </w:rPr>
      </w:pPr>
      <w:r>
        <w:rPr>
          <w:rFonts w:ascii="Times New Roman" w:hAnsi="Times New Roman" w:cs="Times New Roman"/>
          <w:sz w:val="24"/>
          <w:szCs w:val="24"/>
        </w:rPr>
        <w:t>. V'è, infatti, nel nostro sistema una distinzione, almeno tendenziale</w:t>
      </w:r>
      <w:r>
        <w:rPr>
          <w:rStyle w:val="Rimandonotaapidipagina"/>
          <w:rFonts w:ascii="Times New Roman" w:hAnsi="Times New Roman" w:cs="Times New Roman"/>
          <w:sz w:val="24"/>
          <w:szCs w:val="24"/>
        </w:rPr>
        <w:footnoteReference w:id="40"/>
      </w:r>
      <w:r>
        <w:rPr>
          <w:rFonts w:ascii="Times New Roman" w:hAnsi="Times New Roman" w:cs="Times New Roman"/>
          <w:sz w:val="24"/>
          <w:szCs w:val="24"/>
        </w:rPr>
        <w:t xml:space="preserve">, tra </w:t>
      </w:r>
      <w:r>
        <w:rPr>
          <w:rFonts w:ascii="Times New Roman" w:hAnsi="Times New Roman" w:cs="Times New Roman"/>
          <w:i/>
          <w:sz w:val="24"/>
          <w:szCs w:val="24"/>
        </w:rPr>
        <w:t xml:space="preserve">atti </w:t>
      </w:r>
      <w:r>
        <w:rPr>
          <w:rFonts w:ascii="Times New Roman" w:hAnsi="Times New Roman" w:cs="Times New Roman"/>
          <w:sz w:val="24"/>
          <w:szCs w:val="24"/>
        </w:rPr>
        <w:t xml:space="preserve">e </w:t>
      </w:r>
      <w:r>
        <w:rPr>
          <w:rFonts w:ascii="Times New Roman" w:hAnsi="Times New Roman" w:cs="Times New Roman"/>
          <w:i/>
          <w:sz w:val="24"/>
          <w:szCs w:val="24"/>
        </w:rPr>
        <w:t>documenti</w:t>
      </w:r>
      <w:r>
        <w:rPr>
          <w:rFonts w:ascii="Times New Roman" w:hAnsi="Times New Roman" w:cs="Times New Roman"/>
          <w:sz w:val="24"/>
          <w:szCs w:val="24"/>
        </w:rPr>
        <w:t>, questi ultimi essendo elementi formati al di fuori del processo nel quale si chiede o si dispone che facciano ingresso</w:t>
      </w:r>
      <w:r>
        <w:rPr>
          <w:rStyle w:val="Rimandonotaapidipagina"/>
          <w:rFonts w:ascii="Times New Roman" w:hAnsi="Times New Roman" w:cs="Times New Roman"/>
          <w:sz w:val="24"/>
          <w:szCs w:val="24"/>
        </w:rPr>
        <w:footnoteReference w:id="41"/>
      </w:r>
      <w:r>
        <w:rPr>
          <w:rFonts w:ascii="Times New Roman" w:hAnsi="Times New Roman" w:cs="Times New Roman"/>
          <w:sz w:val="24"/>
          <w:szCs w:val="24"/>
        </w:rPr>
        <w:t xml:space="preserve">. </w:t>
      </w:r>
    </w:p>
    <w:p w:rsidR="00577720" w:rsidRDefault="00577720" w:rsidP="00DF3FC3">
      <w:pPr>
        <w:spacing w:after="0"/>
        <w:jc w:val="both"/>
        <w:rPr>
          <w:rFonts w:ascii="Times New Roman" w:hAnsi="Times New Roman" w:cs="Times New Roman"/>
          <w:sz w:val="24"/>
          <w:szCs w:val="24"/>
        </w:rPr>
      </w:pPr>
      <w:r>
        <w:rPr>
          <w:rFonts w:ascii="Times New Roman" w:hAnsi="Times New Roman" w:cs="Times New Roman"/>
          <w:sz w:val="24"/>
          <w:szCs w:val="24"/>
        </w:rPr>
        <w:tab/>
        <w:t>Così, sono da considerare come saperi extraprocessuali tutti quelli formati all'esterno dei procedimenti penali, sia italiano che straniero</w:t>
      </w:r>
      <w:r>
        <w:rPr>
          <w:rStyle w:val="Rimandonotaapidipagina"/>
          <w:rFonts w:ascii="Times New Roman" w:hAnsi="Times New Roman" w:cs="Times New Roman"/>
          <w:sz w:val="24"/>
          <w:szCs w:val="24"/>
        </w:rPr>
        <w:footnoteReference w:id="42"/>
      </w:r>
      <w:r w:rsidR="005B746A">
        <w:rPr>
          <w:rFonts w:ascii="Times New Roman" w:hAnsi="Times New Roman" w:cs="Times New Roman"/>
          <w:sz w:val="24"/>
          <w:szCs w:val="24"/>
        </w:rPr>
        <w:t xml:space="preserve">, ivi compresi i verbali di prova acquisita nel contenzioso civile estero. La logicità di siffatta conclusione si scontra, però, con un dato, riferibile alla diversità di regole e di principi </w:t>
      </w:r>
      <w:r w:rsidR="005B746A" w:rsidRPr="00577720">
        <w:rPr>
          <w:rFonts w:ascii="Times New Roman" w:hAnsi="Times New Roman" w:cs="Times New Roman"/>
          <w:sz w:val="24"/>
          <w:szCs w:val="24"/>
        </w:rPr>
        <w:t>—</w:t>
      </w:r>
      <w:r w:rsidR="005B746A">
        <w:rPr>
          <w:rFonts w:ascii="Times New Roman" w:hAnsi="Times New Roman" w:cs="Times New Roman"/>
          <w:sz w:val="24"/>
          <w:szCs w:val="24"/>
        </w:rPr>
        <w:t xml:space="preserve"> diremmo anche: di valori </w:t>
      </w:r>
      <w:r w:rsidR="005B746A" w:rsidRPr="00577720">
        <w:rPr>
          <w:rFonts w:ascii="Times New Roman" w:hAnsi="Times New Roman" w:cs="Times New Roman"/>
          <w:sz w:val="24"/>
          <w:szCs w:val="24"/>
        </w:rPr>
        <w:t>—</w:t>
      </w:r>
      <w:r w:rsidR="005B746A">
        <w:rPr>
          <w:rFonts w:ascii="Times New Roman" w:hAnsi="Times New Roman" w:cs="Times New Roman"/>
          <w:sz w:val="24"/>
          <w:szCs w:val="24"/>
        </w:rPr>
        <w:t xml:space="preserve"> cui il rito civile d'oltre confine si ispira; ci si intenda: già v'è una sensibile differenza tra giudizi, penale e civile, italiani, </w:t>
      </w:r>
      <w:proofErr w:type="spellStart"/>
      <w:r w:rsidR="005B746A">
        <w:rPr>
          <w:rFonts w:ascii="Times New Roman" w:hAnsi="Times New Roman" w:cs="Times New Roman"/>
          <w:sz w:val="24"/>
          <w:szCs w:val="24"/>
        </w:rPr>
        <w:t>vieppiù</w:t>
      </w:r>
      <w:proofErr w:type="spellEnd"/>
      <w:r w:rsidR="005B746A">
        <w:rPr>
          <w:rFonts w:ascii="Times New Roman" w:hAnsi="Times New Roman" w:cs="Times New Roman"/>
          <w:sz w:val="24"/>
          <w:szCs w:val="24"/>
        </w:rPr>
        <w:t xml:space="preserve"> il divario s'allarga allorquando entri in gioco un Paese straniero. Ecco perché, nell'impossibilità di ricorrere, per l'argomento in esame, alla disciplina della rogatoria</w:t>
      </w:r>
      <w:r w:rsidR="005B746A">
        <w:rPr>
          <w:rStyle w:val="Rimandonotaapidipagina"/>
          <w:rFonts w:ascii="Times New Roman" w:hAnsi="Times New Roman" w:cs="Times New Roman"/>
          <w:sz w:val="24"/>
          <w:szCs w:val="24"/>
        </w:rPr>
        <w:footnoteReference w:id="43"/>
      </w:r>
      <w:r w:rsidR="005B746A">
        <w:rPr>
          <w:rFonts w:ascii="Times New Roman" w:hAnsi="Times New Roman" w:cs="Times New Roman"/>
          <w:sz w:val="24"/>
          <w:szCs w:val="24"/>
        </w:rPr>
        <w:t xml:space="preserve">, il semplice rinvio all'art. 234 </w:t>
      </w:r>
      <w:proofErr w:type="spellStart"/>
      <w:r w:rsidR="005B746A">
        <w:rPr>
          <w:rFonts w:ascii="Times New Roman" w:hAnsi="Times New Roman" w:cs="Times New Roman"/>
          <w:sz w:val="24"/>
          <w:szCs w:val="24"/>
        </w:rPr>
        <w:t>c.p.p.</w:t>
      </w:r>
      <w:proofErr w:type="spellEnd"/>
      <w:r w:rsidR="005B746A">
        <w:rPr>
          <w:rFonts w:ascii="Times New Roman" w:hAnsi="Times New Roman" w:cs="Times New Roman"/>
          <w:sz w:val="24"/>
          <w:szCs w:val="24"/>
        </w:rPr>
        <w:t xml:space="preserve"> appare insoddisfacente: il rischio è, infatti, di consentire l'ingresso nel </w:t>
      </w:r>
      <w:r w:rsidR="005B746A">
        <w:rPr>
          <w:rFonts w:ascii="Times New Roman" w:hAnsi="Times New Roman" w:cs="Times New Roman"/>
          <w:sz w:val="24"/>
          <w:szCs w:val="24"/>
        </w:rPr>
        <w:lastRenderedPageBreak/>
        <w:t>nostro processo di saperi venuti in essere in spregio ai principi fondanti l'ordinamento e, quindi, alle regole che ispirano il corretto svolgimento dell'attività processuale dinnanzi ai nostri giudici.</w:t>
      </w:r>
    </w:p>
    <w:p w:rsidR="005B746A" w:rsidRDefault="005B746A" w:rsidP="00DF3FC3">
      <w:pPr>
        <w:spacing w:after="0"/>
        <w:jc w:val="both"/>
        <w:rPr>
          <w:rFonts w:ascii="Times New Roman" w:hAnsi="Times New Roman" w:cs="Times New Roman"/>
          <w:sz w:val="24"/>
          <w:szCs w:val="24"/>
        </w:rPr>
      </w:pPr>
      <w:r>
        <w:rPr>
          <w:rFonts w:ascii="Times New Roman" w:hAnsi="Times New Roman" w:cs="Times New Roman"/>
          <w:sz w:val="24"/>
          <w:szCs w:val="24"/>
        </w:rPr>
        <w:tab/>
        <w:t xml:space="preserve">Posto, quindi, che il richiamo alla </w:t>
      </w:r>
      <w:proofErr w:type="spellStart"/>
      <w:r>
        <w:rPr>
          <w:rFonts w:ascii="Times New Roman" w:hAnsi="Times New Roman" w:cs="Times New Roman"/>
          <w:sz w:val="24"/>
          <w:szCs w:val="24"/>
        </w:rPr>
        <w:t>generalissima</w:t>
      </w:r>
      <w:proofErr w:type="spellEnd"/>
      <w:r>
        <w:rPr>
          <w:rFonts w:ascii="Times New Roman" w:hAnsi="Times New Roman" w:cs="Times New Roman"/>
          <w:sz w:val="24"/>
          <w:szCs w:val="24"/>
        </w:rPr>
        <w:t xml:space="preserve"> nozione di prova documentale soddisfa l'interprete sul piano teorico, ma non certo su quello pratico, vanno esplorate le due possibili, alternative, soluzioni, </w:t>
      </w:r>
      <w:proofErr w:type="spellStart"/>
      <w:r>
        <w:rPr>
          <w:rFonts w:ascii="Times New Roman" w:hAnsi="Times New Roman" w:cs="Times New Roman"/>
          <w:i/>
          <w:sz w:val="24"/>
          <w:szCs w:val="24"/>
        </w:rPr>
        <w:t>supra</w:t>
      </w:r>
      <w:proofErr w:type="spellEnd"/>
      <w:r w:rsidRPr="005B746A">
        <w:rPr>
          <w:rStyle w:val="Rimandonotaapidipagina"/>
          <w:rFonts w:ascii="Times New Roman" w:hAnsi="Times New Roman" w:cs="Times New Roman"/>
          <w:sz w:val="24"/>
          <w:szCs w:val="24"/>
        </w:rPr>
        <w:footnoteReference w:id="44"/>
      </w:r>
      <w:r w:rsidRPr="005B746A">
        <w:rPr>
          <w:rFonts w:ascii="Times New Roman" w:hAnsi="Times New Roman" w:cs="Times New Roman"/>
          <w:sz w:val="24"/>
          <w:szCs w:val="24"/>
        </w:rPr>
        <w:t xml:space="preserve"> </w:t>
      </w:r>
      <w:r>
        <w:rPr>
          <w:rFonts w:ascii="Times New Roman" w:hAnsi="Times New Roman" w:cs="Times New Roman"/>
          <w:sz w:val="24"/>
          <w:szCs w:val="24"/>
        </w:rPr>
        <w:t>già accennate.</w:t>
      </w:r>
    </w:p>
    <w:p w:rsidR="005B746A" w:rsidRDefault="005B746A" w:rsidP="005B746A">
      <w:pPr>
        <w:spacing w:after="0"/>
        <w:jc w:val="both"/>
        <w:rPr>
          <w:rFonts w:ascii="Times New Roman" w:hAnsi="Times New Roman" w:cs="Times New Roman"/>
          <w:sz w:val="24"/>
          <w:szCs w:val="24"/>
        </w:rPr>
      </w:pPr>
      <w:r>
        <w:rPr>
          <w:rFonts w:ascii="Times New Roman" w:hAnsi="Times New Roman" w:cs="Times New Roman"/>
          <w:sz w:val="24"/>
          <w:szCs w:val="24"/>
        </w:rPr>
        <w:tab/>
        <w:t xml:space="preserve">La prima impone un richiamo alla l. 31 maggio 1995, n. 218, </w:t>
      </w:r>
      <w:r w:rsidRPr="00A058F4">
        <w:rPr>
          <w:rFonts w:ascii="Times New Roman" w:hAnsi="Times New Roman" w:cs="Times New Roman"/>
          <w:sz w:val="24"/>
          <w:szCs w:val="24"/>
        </w:rPr>
        <w:t xml:space="preserve">che regola per parte italiana il </w:t>
      </w:r>
      <w:r>
        <w:rPr>
          <w:rFonts w:ascii="Times New Roman" w:hAnsi="Times New Roman" w:cs="Times New Roman"/>
          <w:sz w:val="24"/>
          <w:szCs w:val="24"/>
        </w:rPr>
        <w:t>diritto internazionale privato,</w:t>
      </w:r>
      <w:r w:rsidRPr="00A058F4">
        <w:rPr>
          <w:rFonts w:ascii="Times New Roman" w:hAnsi="Times New Roman" w:cs="Times New Roman"/>
          <w:sz w:val="24"/>
          <w:szCs w:val="24"/>
        </w:rPr>
        <w:t xml:space="preserve"> «</w:t>
      </w:r>
      <w:r w:rsidRPr="00286CFE">
        <w:rPr>
          <w:rFonts w:ascii="Times New Roman" w:hAnsi="Times New Roman" w:cs="Times New Roman"/>
          <w:sz w:val="24"/>
          <w:szCs w:val="24"/>
        </w:rPr>
        <w:t>determina l’ambito della giurisdizione italiana, pone i criteri per l’individuazione del diritto applicabile e disciplina l’efficacia delle sentenze e degli atti stranieri</w:t>
      </w:r>
      <w:r w:rsidRPr="00A058F4">
        <w:rPr>
          <w:rFonts w:ascii="Times New Roman" w:hAnsi="Times New Roman" w:cs="Times New Roman"/>
          <w:sz w:val="24"/>
          <w:szCs w:val="24"/>
        </w:rPr>
        <w:t>».</w:t>
      </w:r>
      <w:r>
        <w:rPr>
          <w:rFonts w:ascii="Times New Roman" w:hAnsi="Times New Roman" w:cs="Times New Roman"/>
          <w:sz w:val="24"/>
          <w:szCs w:val="24"/>
        </w:rPr>
        <w:t xml:space="preserve"> </w:t>
      </w:r>
    </w:p>
    <w:p w:rsidR="005B746A" w:rsidRDefault="005B746A" w:rsidP="00DF3FC3">
      <w:pPr>
        <w:spacing w:after="0"/>
        <w:jc w:val="both"/>
        <w:rPr>
          <w:rFonts w:ascii="Times New Roman" w:hAnsi="Times New Roman" w:cs="Times New Roman"/>
          <w:sz w:val="24"/>
          <w:szCs w:val="24"/>
        </w:rPr>
      </w:pPr>
      <w:r>
        <w:rPr>
          <w:rFonts w:ascii="Times New Roman" w:hAnsi="Times New Roman" w:cs="Times New Roman"/>
          <w:sz w:val="24"/>
          <w:szCs w:val="24"/>
        </w:rPr>
        <w:tab/>
        <w:t>In quella legge vi sono le sole norme che, nel nostro ordinamento, disciplinano l'assunzione di mezzi di prova disposti da giudici (civili) stranieri</w:t>
      </w:r>
      <w:r w:rsidR="00E03979">
        <w:rPr>
          <w:rFonts w:ascii="Times New Roman" w:hAnsi="Times New Roman" w:cs="Times New Roman"/>
          <w:sz w:val="24"/>
          <w:szCs w:val="24"/>
        </w:rPr>
        <w:t>: si tratta degli artt. 65 e 69.</w:t>
      </w:r>
    </w:p>
    <w:p w:rsidR="00E03979" w:rsidRDefault="00E03979" w:rsidP="00DF3FC3">
      <w:pPr>
        <w:spacing w:after="0"/>
        <w:jc w:val="both"/>
        <w:rPr>
          <w:rFonts w:ascii="Times New Roman" w:hAnsi="Times New Roman" w:cs="Times New Roman"/>
          <w:sz w:val="24"/>
          <w:szCs w:val="24"/>
        </w:rPr>
      </w:pPr>
      <w:r>
        <w:rPr>
          <w:rFonts w:ascii="Times New Roman" w:hAnsi="Times New Roman" w:cs="Times New Roman"/>
          <w:sz w:val="24"/>
          <w:szCs w:val="24"/>
        </w:rPr>
        <w:tab/>
        <w:t>L'art. 65 tratta del «riconoscimento di provvedimenti stranieri», che avviene purché essi «non siano contrari all’ordine pubblico e siano stati rispettati i diritti essenziali della difesa», dunque anche – ed evidentemente – nell’acquisizione delle prove che hanno permesso al giudice estero di rendere il provvedimento da riconoscersi.</w:t>
      </w:r>
    </w:p>
    <w:p w:rsidR="00E03979" w:rsidRDefault="00E03979" w:rsidP="00DF3FC3">
      <w:pPr>
        <w:spacing w:after="0"/>
        <w:jc w:val="both"/>
        <w:rPr>
          <w:rFonts w:ascii="Times New Roman" w:hAnsi="Times New Roman" w:cs="Times New Roman"/>
          <w:sz w:val="24"/>
          <w:szCs w:val="24"/>
        </w:rPr>
      </w:pPr>
      <w:r>
        <w:rPr>
          <w:rFonts w:ascii="Times New Roman" w:hAnsi="Times New Roman" w:cs="Times New Roman"/>
          <w:sz w:val="24"/>
          <w:szCs w:val="24"/>
        </w:rPr>
        <w:tab/>
        <w:t>L'art. 69, dal canto suo, dispone che possono essere assunti in Italia, se richiesti dal giudice straniero e dovendosi eseguirli nel nostro territorio, «</w:t>
      </w:r>
      <w:r w:rsidRPr="00286CFE">
        <w:rPr>
          <w:rFonts w:ascii="Times New Roman" w:hAnsi="Times New Roman" w:cs="Times New Roman"/>
          <w:sz w:val="24"/>
          <w:szCs w:val="24"/>
        </w:rPr>
        <w:t>oltre che gli esami dei testimoni, gli interrogatori o altri mezzi di prova, anche gli accertamenti tecnici</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45"/>
      </w:r>
      <w:r>
        <w:rPr>
          <w:rFonts w:ascii="Times New Roman" w:hAnsi="Times New Roman" w:cs="Times New Roman"/>
          <w:sz w:val="24"/>
          <w:szCs w:val="24"/>
        </w:rPr>
        <w:t>.</w:t>
      </w:r>
    </w:p>
    <w:p w:rsidR="00E03979" w:rsidRDefault="00E03979" w:rsidP="00DF3FC3">
      <w:pPr>
        <w:spacing w:after="0"/>
        <w:jc w:val="both"/>
        <w:rPr>
          <w:rFonts w:ascii="Times New Roman" w:hAnsi="Times New Roman" w:cs="Times New Roman"/>
          <w:sz w:val="24"/>
          <w:szCs w:val="24"/>
        </w:rPr>
      </w:pPr>
      <w:r>
        <w:rPr>
          <w:rFonts w:ascii="Times New Roman" w:hAnsi="Times New Roman" w:cs="Times New Roman"/>
          <w:sz w:val="24"/>
          <w:szCs w:val="24"/>
        </w:rPr>
        <w:tab/>
        <w:t>Ritorna l'ampia definizione, civilistica, di "mezzo di prova"</w:t>
      </w:r>
      <w:r>
        <w:rPr>
          <w:rStyle w:val="Rimandonotaapidipagina"/>
          <w:rFonts w:ascii="Times New Roman" w:hAnsi="Times New Roman" w:cs="Times New Roman"/>
          <w:sz w:val="24"/>
          <w:szCs w:val="24"/>
        </w:rPr>
        <w:footnoteReference w:id="46"/>
      </w:r>
      <w:r>
        <w:rPr>
          <w:rFonts w:ascii="Times New Roman" w:hAnsi="Times New Roman" w:cs="Times New Roman"/>
          <w:sz w:val="24"/>
          <w:szCs w:val="24"/>
        </w:rPr>
        <w:t xml:space="preserve">, che viene ulteriormente estesa dall'art. 69, esso ricomprendendovi addirittura gli accertamenti tecnici </w:t>
      </w:r>
      <w:r>
        <w:rPr>
          <w:rFonts w:ascii="Times New Roman" w:hAnsi="Times New Roman" w:cs="Times New Roman"/>
          <w:i/>
          <w:sz w:val="24"/>
          <w:szCs w:val="24"/>
        </w:rPr>
        <w:t xml:space="preserve">lato </w:t>
      </w:r>
      <w:proofErr w:type="spellStart"/>
      <w:r>
        <w:rPr>
          <w:rFonts w:ascii="Times New Roman" w:hAnsi="Times New Roman" w:cs="Times New Roman"/>
          <w:i/>
          <w:sz w:val="24"/>
          <w:szCs w:val="24"/>
        </w:rPr>
        <w:t>sensu</w:t>
      </w:r>
      <w:proofErr w:type="spellEnd"/>
      <w:r>
        <w:rPr>
          <w:rFonts w:ascii="Times New Roman" w:hAnsi="Times New Roman" w:cs="Times New Roman"/>
          <w:sz w:val="24"/>
          <w:szCs w:val="24"/>
        </w:rPr>
        <w:t xml:space="preserve"> intesi e, quindi, svincolati dal contesto processuale o da quello preliminare, tipico, nel nostro ordinamento, degli artt. 696 e 696-bis </w:t>
      </w:r>
      <w:proofErr w:type="spellStart"/>
      <w:r>
        <w:rPr>
          <w:rFonts w:ascii="Times New Roman" w:hAnsi="Times New Roman" w:cs="Times New Roman"/>
          <w:sz w:val="24"/>
          <w:szCs w:val="24"/>
        </w:rPr>
        <w:t>c.p.c.</w:t>
      </w:r>
      <w:proofErr w:type="spellEnd"/>
      <w:r>
        <w:rPr>
          <w:rStyle w:val="Rimandonotaapidipagina"/>
          <w:rFonts w:ascii="Times New Roman" w:hAnsi="Times New Roman" w:cs="Times New Roman"/>
          <w:sz w:val="24"/>
          <w:szCs w:val="24"/>
        </w:rPr>
        <w:footnoteReference w:id="47"/>
      </w:r>
      <w:r>
        <w:rPr>
          <w:rFonts w:ascii="Times New Roman" w:hAnsi="Times New Roman" w:cs="Times New Roman"/>
          <w:sz w:val="24"/>
          <w:szCs w:val="24"/>
        </w:rPr>
        <w:t>.</w:t>
      </w:r>
    </w:p>
    <w:p w:rsidR="00E03979" w:rsidRPr="00E03979" w:rsidRDefault="00E03979" w:rsidP="00DF3FC3">
      <w:pPr>
        <w:spacing w:after="0"/>
        <w:jc w:val="both"/>
        <w:rPr>
          <w:rFonts w:ascii="Times New Roman" w:hAnsi="Times New Roman" w:cs="Times New Roman"/>
          <w:sz w:val="24"/>
          <w:szCs w:val="24"/>
        </w:rPr>
      </w:pPr>
      <w:r>
        <w:rPr>
          <w:rFonts w:ascii="Times New Roman" w:hAnsi="Times New Roman" w:cs="Times New Roman"/>
          <w:sz w:val="24"/>
          <w:szCs w:val="24"/>
        </w:rPr>
        <w:tab/>
        <w:t xml:space="preserve">Tanto dovutamente premesso, occorre comprendere se sia possibile guardare agli artt. 65 e 69 – ma, più in generale, alla parte di diritto internazionale processuale della l. n. 218 del 1995 – nel tema della prova formata nel giudizio civile straniero, che debba entrare in un processo italiano, non civile, bensì penale. O, a parti invertite, della prova di cui abbisogna il contenzioso estero e che debba formarsi davanti al giudice nostrano: insomma, quindi, della circolazione probatoria tra riti civile e penale, di Paesi diversi. </w:t>
      </w:r>
    </w:p>
    <w:p w:rsidR="00E03979" w:rsidRDefault="00E03979" w:rsidP="005B746A">
      <w:pPr>
        <w:spacing w:after="0"/>
        <w:jc w:val="both"/>
        <w:rPr>
          <w:rFonts w:ascii="Times New Roman" w:hAnsi="Times New Roman" w:cs="Times New Roman"/>
          <w:sz w:val="24"/>
          <w:szCs w:val="24"/>
        </w:rPr>
      </w:pPr>
      <w:r>
        <w:rPr>
          <w:rFonts w:ascii="Times New Roman" w:hAnsi="Times New Roman" w:cs="Times New Roman"/>
          <w:sz w:val="24"/>
          <w:szCs w:val="24"/>
        </w:rPr>
        <w:tab/>
        <w:t>Nulla negli artt. 1, 65 e 69 consente di fornire una risposta negativa: il primo parla genericamente di «</w:t>
      </w:r>
      <w:r w:rsidRPr="00286CFE">
        <w:rPr>
          <w:rFonts w:ascii="Times New Roman" w:hAnsi="Times New Roman" w:cs="Times New Roman"/>
          <w:sz w:val="24"/>
          <w:szCs w:val="24"/>
        </w:rPr>
        <w:t>efficacia delle sent</w:t>
      </w:r>
      <w:r>
        <w:rPr>
          <w:rFonts w:ascii="Times New Roman" w:hAnsi="Times New Roman" w:cs="Times New Roman"/>
          <w:sz w:val="24"/>
          <w:szCs w:val="24"/>
        </w:rPr>
        <w:t xml:space="preserve">enze e degli atti stranieri», il secondo, di «provvedimenti stranieri relativi alla capacità delle persone, nonché all’esistenza di </w:t>
      </w:r>
      <w:r>
        <w:rPr>
          <w:rFonts w:ascii="Times New Roman" w:hAnsi="Times New Roman" w:cs="Times New Roman"/>
          <w:sz w:val="24"/>
          <w:szCs w:val="24"/>
        </w:rPr>
        <w:lastRenderedPageBreak/>
        <w:t xml:space="preserve">rapporti di famiglia o di diritti della personalità» e il terzo, di </w:t>
      </w:r>
      <w:r w:rsidRPr="00286CFE">
        <w:rPr>
          <w:rFonts w:ascii="Times New Roman" w:hAnsi="Times New Roman" w:cs="Times New Roman"/>
          <w:sz w:val="24"/>
          <w:szCs w:val="24"/>
        </w:rPr>
        <w:t>«mezzi di prova da assumersi nella Repubblica</w:t>
      </w:r>
      <w:r>
        <w:rPr>
          <w:rFonts w:ascii="Times New Roman" w:hAnsi="Times New Roman" w:cs="Times New Roman"/>
          <w:sz w:val="24"/>
          <w:szCs w:val="24"/>
        </w:rPr>
        <w:t>».</w:t>
      </w:r>
    </w:p>
    <w:p w:rsidR="00E03979" w:rsidRDefault="00E03979" w:rsidP="00E03979">
      <w:pPr>
        <w:spacing w:after="0"/>
        <w:jc w:val="both"/>
        <w:rPr>
          <w:rFonts w:ascii="Times New Roman" w:hAnsi="Times New Roman" w:cs="Times New Roman"/>
          <w:sz w:val="24"/>
          <w:szCs w:val="24"/>
        </w:rPr>
      </w:pPr>
      <w:r>
        <w:rPr>
          <w:rFonts w:ascii="Times New Roman" w:hAnsi="Times New Roman" w:cs="Times New Roman"/>
          <w:sz w:val="24"/>
          <w:szCs w:val="24"/>
        </w:rPr>
        <w:tab/>
        <w:t>La l. n. 218 del 1995, in quanto provvedimento di diritto nazionale, indica gli atti che, giunti dall'estero, possono produrre effetti nel nostro ordinamento, senza limitare la sfera di efficacia al solo giudizio civile nostrano, tant'è che l'art. 65 esordisce con un generico «hanno effetto in Italia ...» e non con un'espressione del tipo «hanno effetto nel processo civile italiano».</w:t>
      </w:r>
    </w:p>
    <w:p w:rsidR="00E03979" w:rsidRDefault="00E03979" w:rsidP="00E03979">
      <w:pPr>
        <w:spacing w:after="0"/>
        <w:jc w:val="both"/>
        <w:rPr>
          <w:rFonts w:ascii="Times New Roman" w:hAnsi="Times New Roman" w:cs="Times New Roman"/>
          <w:sz w:val="24"/>
          <w:szCs w:val="24"/>
        </w:rPr>
      </w:pPr>
      <w:r>
        <w:rPr>
          <w:rFonts w:ascii="Times New Roman" w:hAnsi="Times New Roman" w:cs="Times New Roman"/>
          <w:sz w:val="24"/>
          <w:szCs w:val="24"/>
        </w:rPr>
        <w:tab/>
        <w:t>Certo, «</w:t>
      </w:r>
      <w:r w:rsidRPr="00286CFE">
        <w:rPr>
          <w:rFonts w:ascii="Times New Roman" w:hAnsi="Times New Roman" w:cs="Times New Roman"/>
          <w:sz w:val="24"/>
          <w:szCs w:val="24"/>
        </w:rPr>
        <w:t>il carattere interno delle norme di diritto internazionale privato comporta il rischio che i diversi ordinamenti statali adottino regole differenti o, addirittura, contrapposte. Ciò impedisce di garantire quella certezza del diritto che tutti i rapporti privati, anche quelli caratterizzati da elementi di estraneità meritano. Ecco perché accanto alle norme interne acquisiscono crescente importanza le Convenzioni multilaterali che hanno lo scopo di unificare le norme di diritto internazionale privato in un determinato settore</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48"/>
      </w:r>
      <w:r>
        <w:rPr>
          <w:rFonts w:ascii="Times New Roman" w:hAnsi="Times New Roman" w:cs="Times New Roman"/>
          <w:sz w:val="24"/>
          <w:szCs w:val="24"/>
        </w:rPr>
        <w:t xml:space="preserve">, ad esse equiparandosi la normativa </w:t>
      </w:r>
      <w:proofErr w:type="spellStart"/>
      <w:r>
        <w:rPr>
          <w:rFonts w:ascii="Times New Roman" w:hAnsi="Times New Roman" w:cs="Times New Roman"/>
          <w:sz w:val="24"/>
          <w:szCs w:val="24"/>
        </w:rPr>
        <w:t>eurounitaria</w:t>
      </w:r>
      <w:proofErr w:type="spellEnd"/>
      <w:r>
        <w:rPr>
          <w:rFonts w:ascii="Times New Roman" w:hAnsi="Times New Roman" w:cs="Times New Roman"/>
          <w:sz w:val="24"/>
          <w:szCs w:val="24"/>
        </w:rPr>
        <w:t xml:space="preserve"> sul punto</w:t>
      </w:r>
      <w:r>
        <w:rPr>
          <w:rStyle w:val="Rimandonotaapidipagina"/>
          <w:rFonts w:ascii="Times New Roman" w:hAnsi="Times New Roman" w:cs="Times New Roman"/>
          <w:sz w:val="24"/>
          <w:szCs w:val="24"/>
        </w:rPr>
        <w:footnoteReference w:id="49"/>
      </w:r>
      <w:r>
        <w:rPr>
          <w:rFonts w:ascii="Times New Roman" w:hAnsi="Times New Roman" w:cs="Times New Roman"/>
          <w:sz w:val="24"/>
          <w:szCs w:val="24"/>
        </w:rPr>
        <w:t xml:space="preserve">. </w:t>
      </w:r>
    </w:p>
    <w:p w:rsidR="00E03979" w:rsidRDefault="0044588D" w:rsidP="00E03979">
      <w:pPr>
        <w:spacing w:after="0"/>
        <w:jc w:val="both"/>
        <w:rPr>
          <w:rFonts w:ascii="Times New Roman" w:hAnsi="Times New Roman" w:cs="Times New Roman"/>
          <w:sz w:val="24"/>
          <w:szCs w:val="24"/>
        </w:rPr>
      </w:pPr>
      <w:r>
        <w:rPr>
          <w:rFonts w:ascii="Times New Roman" w:hAnsi="Times New Roman" w:cs="Times New Roman"/>
          <w:sz w:val="24"/>
          <w:szCs w:val="24"/>
        </w:rPr>
        <w:tab/>
        <w:t xml:space="preserve">Esistono normative che, a livello europeo, si preoccupano di limitare il proprio ambito di applicazione </w:t>
      </w:r>
      <w:proofErr w:type="spellStart"/>
      <w:r>
        <w:rPr>
          <w:rFonts w:ascii="Times New Roman" w:hAnsi="Times New Roman" w:cs="Times New Roman"/>
          <w:i/>
          <w:sz w:val="24"/>
          <w:szCs w:val="24"/>
        </w:rPr>
        <w:t>ratione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materiae</w:t>
      </w:r>
      <w:proofErr w:type="spellEnd"/>
      <w:r>
        <w:rPr>
          <w:rFonts w:ascii="Times New Roman" w:hAnsi="Times New Roman" w:cs="Times New Roman"/>
          <w:sz w:val="24"/>
          <w:szCs w:val="24"/>
        </w:rPr>
        <w:t>: si pensi al Regolamento 28 maggio 2001, 2011/1206/CE che, proprio in materia di cooperazione giudiziaria tra Stati membri, all'art. 1 delinea il settore di riferimento nella «materia civile e commerciale».</w:t>
      </w:r>
    </w:p>
    <w:p w:rsidR="0044588D" w:rsidRDefault="0044588D" w:rsidP="00E03979">
      <w:pPr>
        <w:spacing w:after="0"/>
        <w:jc w:val="both"/>
        <w:rPr>
          <w:rFonts w:ascii="Times New Roman" w:hAnsi="Times New Roman" w:cs="Times New Roman"/>
          <w:sz w:val="24"/>
          <w:szCs w:val="24"/>
        </w:rPr>
      </w:pPr>
      <w:r>
        <w:rPr>
          <w:rFonts w:ascii="Times New Roman" w:hAnsi="Times New Roman" w:cs="Times New Roman"/>
          <w:sz w:val="24"/>
          <w:szCs w:val="24"/>
        </w:rPr>
        <w:tab/>
        <w:t>Viste, però, le difficoltà nell'armonizzare il settore della circolazione probatoria penale</w:t>
      </w:r>
      <w:r>
        <w:rPr>
          <w:rStyle w:val="Rimandonotaapidipagina"/>
          <w:rFonts w:ascii="Times New Roman" w:hAnsi="Times New Roman" w:cs="Times New Roman"/>
          <w:sz w:val="24"/>
          <w:szCs w:val="24"/>
        </w:rPr>
        <w:footnoteReference w:id="50"/>
      </w:r>
      <w:r>
        <w:rPr>
          <w:rFonts w:ascii="Times New Roman" w:hAnsi="Times New Roman" w:cs="Times New Roman"/>
          <w:sz w:val="24"/>
          <w:szCs w:val="24"/>
        </w:rPr>
        <w:t xml:space="preserve">, non è ammissibile l'ipotesi di estendere le norme che governano l'assunzione di mezzi istruttori dal processo civile di uno Stato all'altro, in contesto </w:t>
      </w:r>
      <w:proofErr w:type="spellStart"/>
      <w:r>
        <w:rPr>
          <w:rFonts w:ascii="Times New Roman" w:hAnsi="Times New Roman" w:cs="Times New Roman"/>
          <w:sz w:val="24"/>
          <w:szCs w:val="24"/>
        </w:rPr>
        <w:t>eurounitario</w:t>
      </w:r>
      <w:proofErr w:type="spellEnd"/>
      <w:r>
        <w:rPr>
          <w:rFonts w:ascii="Times New Roman" w:hAnsi="Times New Roman" w:cs="Times New Roman"/>
          <w:sz w:val="24"/>
          <w:szCs w:val="24"/>
        </w:rPr>
        <w:t>, all'indagine o al giudizio criminale. D'altra parte, se l'idea di una collaborazione nel settore criminale è più risalente di almeno trent'anni</w:t>
      </w:r>
      <w:r>
        <w:rPr>
          <w:rStyle w:val="Rimandonotaapidipagina"/>
          <w:rFonts w:ascii="Times New Roman" w:hAnsi="Times New Roman" w:cs="Times New Roman"/>
          <w:sz w:val="24"/>
          <w:szCs w:val="24"/>
        </w:rPr>
        <w:footnoteReference w:id="51"/>
      </w:r>
      <w:r>
        <w:rPr>
          <w:rFonts w:ascii="Times New Roman" w:hAnsi="Times New Roman" w:cs="Times New Roman"/>
          <w:sz w:val="24"/>
          <w:szCs w:val="24"/>
        </w:rPr>
        <w:t xml:space="preserve"> ai primi accordi di assistenza in materia penale, ciò si collega evidentemente alla ritrosia dei Paesi europei, che pure condividono tradizioni giuridiche di fondo similari, di accordarsi circa la definizione di che cosa sia reato e di quali metodi applicare per accertarlo. </w:t>
      </w:r>
    </w:p>
    <w:p w:rsidR="00E03979" w:rsidRDefault="0044588D" w:rsidP="00E03979">
      <w:pPr>
        <w:spacing w:after="0"/>
        <w:jc w:val="both"/>
        <w:rPr>
          <w:rFonts w:ascii="Times New Roman" w:hAnsi="Times New Roman" w:cs="Times New Roman"/>
          <w:sz w:val="24"/>
          <w:szCs w:val="24"/>
        </w:rPr>
      </w:pPr>
      <w:r>
        <w:rPr>
          <w:rFonts w:ascii="Times New Roman" w:hAnsi="Times New Roman" w:cs="Times New Roman"/>
          <w:sz w:val="24"/>
          <w:szCs w:val="24"/>
        </w:rPr>
        <w:tab/>
        <w:t>Ecco perché, almeno per adesso, il tema della prova che proviene da un giudizio civile straniero e che voglia entrare nel processo penale italiano non può essere regolato da norme eurounitarie, ma deve subire il governo di disposizioni di diritto interno: solo il legislatore nazionale, infatti, sa in quale misura saperi allogeni possono entrare nel nostro sistema, senza offenderne i principi fondamentali</w:t>
      </w:r>
      <w:r w:rsidR="00E03979">
        <w:rPr>
          <w:rStyle w:val="Rimandonotaapidipagina"/>
          <w:rFonts w:ascii="Times New Roman" w:hAnsi="Times New Roman" w:cs="Times New Roman"/>
          <w:sz w:val="24"/>
          <w:szCs w:val="24"/>
        </w:rPr>
        <w:footnoteReference w:id="52"/>
      </w:r>
      <w:r w:rsidR="00E03979">
        <w:rPr>
          <w:rFonts w:ascii="Times New Roman" w:hAnsi="Times New Roman" w:cs="Times New Roman"/>
          <w:sz w:val="24"/>
          <w:szCs w:val="24"/>
        </w:rPr>
        <w:t xml:space="preserve">. </w:t>
      </w:r>
    </w:p>
    <w:p w:rsidR="00E03979" w:rsidRDefault="0044588D" w:rsidP="00E0397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È una questione di </w:t>
      </w:r>
      <w:r>
        <w:rPr>
          <w:rFonts w:ascii="Times New Roman" w:hAnsi="Times New Roman" w:cs="Times New Roman"/>
          <w:i/>
          <w:sz w:val="24"/>
          <w:szCs w:val="24"/>
        </w:rPr>
        <w:t>ordine pubblico</w:t>
      </w:r>
      <w:r>
        <w:rPr>
          <w:rFonts w:ascii="Times New Roman" w:hAnsi="Times New Roman" w:cs="Times New Roman"/>
          <w:sz w:val="24"/>
          <w:szCs w:val="24"/>
        </w:rPr>
        <w:t>, concetto, peraltro, richiamato dalla stessa l. n. 218 del 1995, all'art. 65</w:t>
      </w:r>
      <w:r>
        <w:rPr>
          <w:rStyle w:val="Rimandonotaapidipagina"/>
          <w:rFonts w:ascii="Times New Roman" w:hAnsi="Times New Roman" w:cs="Times New Roman"/>
          <w:sz w:val="24"/>
          <w:szCs w:val="24"/>
        </w:rPr>
        <w:footnoteReference w:id="53"/>
      </w:r>
      <w:r>
        <w:rPr>
          <w:rFonts w:ascii="Times New Roman" w:hAnsi="Times New Roman" w:cs="Times New Roman"/>
          <w:sz w:val="24"/>
          <w:szCs w:val="24"/>
        </w:rPr>
        <w:t xml:space="preserve">. Per comprendere i lineamenti di tale accezione, non può che </w:t>
      </w:r>
      <w:proofErr w:type="spellStart"/>
      <w:r>
        <w:rPr>
          <w:rFonts w:ascii="Times New Roman" w:hAnsi="Times New Roman" w:cs="Times New Roman"/>
          <w:sz w:val="24"/>
          <w:szCs w:val="24"/>
        </w:rPr>
        <w:t>procedersi</w:t>
      </w:r>
      <w:proofErr w:type="spellEnd"/>
      <w:r>
        <w:rPr>
          <w:rFonts w:ascii="Times New Roman" w:hAnsi="Times New Roman" w:cs="Times New Roman"/>
          <w:sz w:val="24"/>
          <w:szCs w:val="24"/>
        </w:rPr>
        <w:t xml:space="preserve"> per esempi, mancando una solida esegesi giurisprudenziale che vada oltre l'approccio </w:t>
      </w:r>
      <w:proofErr w:type="spellStart"/>
      <w:r>
        <w:rPr>
          <w:rFonts w:ascii="Times New Roman" w:hAnsi="Times New Roman" w:cs="Times New Roman"/>
          <w:sz w:val="24"/>
          <w:szCs w:val="24"/>
        </w:rPr>
        <w:t>casuistico</w:t>
      </w:r>
      <w:proofErr w:type="spellEnd"/>
      <w:r>
        <w:rPr>
          <w:rFonts w:ascii="Times New Roman" w:hAnsi="Times New Roman" w:cs="Times New Roman"/>
          <w:sz w:val="24"/>
          <w:szCs w:val="24"/>
        </w:rPr>
        <w:t xml:space="preserve">; si legga, allora, quanto segue: </w:t>
      </w:r>
      <w:r w:rsidR="00E03979">
        <w:rPr>
          <w:rFonts w:ascii="Times New Roman" w:hAnsi="Times New Roman" w:cs="Times New Roman"/>
          <w:sz w:val="24"/>
          <w:szCs w:val="24"/>
        </w:rPr>
        <w:t>«</w:t>
      </w:r>
      <w:r w:rsidR="00E03979" w:rsidRPr="00286CFE">
        <w:rPr>
          <w:rFonts w:ascii="Times New Roman" w:hAnsi="Times New Roman" w:cs="Times New Roman"/>
          <w:sz w:val="24"/>
          <w:szCs w:val="24"/>
        </w:rPr>
        <w:t>in tema di riconoscimento di sentenze straniere, il giudice deve verificare se siano stati soddisfatti i principi fondamentali dell'ordinamento, anche relativi al procedimento formativo della decisione, con la precisazione che non è ravvisabile una violazione del diritto di difesa in ogni inosservanza di una disposizione della legge processuale straniera a tutela della partecipazione della parte al giudizio, ma soltanto quando essa, per la sua rilevante incidenza, abbia determinato una lesione del diritto di difesa rispetto all'intero processo, ponendosi in contrasto con l'ordine pubblico processuale</w:t>
      </w:r>
      <w:r w:rsidR="00E03979">
        <w:rPr>
          <w:rFonts w:ascii="Times New Roman" w:hAnsi="Times New Roman" w:cs="Times New Roman"/>
          <w:sz w:val="24"/>
          <w:szCs w:val="24"/>
        </w:rPr>
        <w:t>»</w:t>
      </w:r>
      <w:r w:rsidR="00E03979">
        <w:rPr>
          <w:rStyle w:val="Rimandonotaapidipagina"/>
          <w:rFonts w:ascii="Times New Roman" w:hAnsi="Times New Roman" w:cs="Times New Roman"/>
          <w:sz w:val="24"/>
          <w:szCs w:val="24"/>
        </w:rPr>
        <w:footnoteReference w:id="54"/>
      </w:r>
      <w:r w:rsidR="00E03979">
        <w:rPr>
          <w:rFonts w:ascii="Times New Roman" w:hAnsi="Times New Roman" w:cs="Times New Roman"/>
          <w:sz w:val="24"/>
          <w:szCs w:val="24"/>
        </w:rPr>
        <w:t>.</w:t>
      </w:r>
    </w:p>
    <w:p w:rsidR="00E03979" w:rsidRDefault="00E03979" w:rsidP="00E03979">
      <w:pPr>
        <w:spacing w:after="0"/>
        <w:jc w:val="both"/>
        <w:rPr>
          <w:rFonts w:ascii="Times New Roman" w:hAnsi="Times New Roman" w:cs="Times New Roman"/>
          <w:sz w:val="24"/>
          <w:szCs w:val="24"/>
        </w:rPr>
      </w:pPr>
      <w:r>
        <w:rPr>
          <w:rFonts w:ascii="Times New Roman" w:hAnsi="Times New Roman" w:cs="Times New Roman"/>
          <w:sz w:val="24"/>
          <w:szCs w:val="24"/>
        </w:rPr>
        <w:tab/>
        <w:t xml:space="preserve">La pronuncia riecheggia un arresto europeo, secondo il quale </w:t>
      </w:r>
      <w:r w:rsidRPr="00321DCD">
        <w:rPr>
          <w:rFonts w:ascii="Times New Roman" w:hAnsi="Times New Roman" w:cs="Times New Roman"/>
          <w:sz w:val="24"/>
          <w:szCs w:val="24"/>
        </w:rPr>
        <w:t>«</w:t>
      </w:r>
      <w:r w:rsidRPr="00286CFE">
        <w:rPr>
          <w:rFonts w:ascii="Times New Roman" w:hAnsi="Times New Roman" w:cs="Times New Roman"/>
          <w:sz w:val="24"/>
          <w:szCs w:val="24"/>
        </w:rPr>
        <w:t>il diritto di difesa può subire una moderata limitazione nel caso in cui il provvedimento sia stato emesso nei confronti di un soggetto che abbia avuto comunque la possibilità di partecipare attivamente al processo, quantomeno nella fase precedente a quella conclusasi con l'emissione del provvedimento</w:t>
      </w:r>
      <w:r w:rsidRPr="00321DCD">
        <w:rPr>
          <w:rFonts w:ascii="Times New Roman" w:hAnsi="Times New Roman" w:cs="Times New Roman"/>
          <w:sz w:val="24"/>
          <w:szCs w:val="24"/>
        </w:rPr>
        <w:t>»</w:t>
      </w:r>
      <w:r>
        <w:rPr>
          <w:rStyle w:val="Rimandonotaapidipagina"/>
          <w:rFonts w:ascii="Times New Roman" w:hAnsi="Times New Roman" w:cs="Times New Roman"/>
          <w:sz w:val="24"/>
          <w:szCs w:val="24"/>
        </w:rPr>
        <w:footnoteReference w:id="55"/>
      </w:r>
      <w:r>
        <w:rPr>
          <w:rFonts w:ascii="Times New Roman" w:hAnsi="Times New Roman" w:cs="Times New Roman"/>
          <w:sz w:val="24"/>
          <w:szCs w:val="24"/>
        </w:rPr>
        <w:t xml:space="preserve">. </w:t>
      </w:r>
    </w:p>
    <w:p w:rsidR="00E03979" w:rsidRDefault="00E03979" w:rsidP="00E03979">
      <w:pPr>
        <w:spacing w:after="0"/>
        <w:jc w:val="both"/>
        <w:rPr>
          <w:rFonts w:ascii="Times New Roman" w:hAnsi="Times New Roman" w:cs="Times New Roman"/>
          <w:sz w:val="24"/>
          <w:szCs w:val="24"/>
        </w:rPr>
      </w:pPr>
      <w:r>
        <w:rPr>
          <w:rFonts w:ascii="Times New Roman" w:hAnsi="Times New Roman" w:cs="Times New Roman"/>
          <w:sz w:val="24"/>
          <w:szCs w:val="24"/>
        </w:rPr>
        <w:tab/>
        <w:t xml:space="preserve">Il tema è quello della </w:t>
      </w:r>
      <w:r w:rsidR="0044588D">
        <w:rPr>
          <w:rFonts w:ascii="Times New Roman" w:hAnsi="Times New Roman" w:cs="Times New Roman"/>
          <w:sz w:val="24"/>
          <w:szCs w:val="24"/>
        </w:rPr>
        <w:t>decisione</w:t>
      </w:r>
      <w:r>
        <w:rPr>
          <w:rFonts w:ascii="Times New Roman" w:hAnsi="Times New Roman" w:cs="Times New Roman"/>
          <w:sz w:val="24"/>
          <w:szCs w:val="24"/>
        </w:rPr>
        <w:t xml:space="preserve"> </w:t>
      </w:r>
      <w:r>
        <w:rPr>
          <w:rFonts w:ascii="Times New Roman" w:hAnsi="Times New Roman" w:cs="Times New Roman"/>
          <w:i/>
          <w:sz w:val="24"/>
          <w:szCs w:val="24"/>
        </w:rPr>
        <w:t>inaudita altera parte</w:t>
      </w:r>
      <w:r w:rsidRPr="00321DCD">
        <w:rPr>
          <w:rStyle w:val="Rimandonotaapidipagina"/>
          <w:rFonts w:ascii="Times New Roman" w:hAnsi="Times New Roman" w:cs="Times New Roman"/>
          <w:sz w:val="24"/>
          <w:szCs w:val="24"/>
        </w:rPr>
        <w:footnoteReference w:id="56"/>
      </w:r>
      <w:r>
        <w:rPr>
          <w:rFonts w:ascii="Times New Roman" w:hAnsi="Times New Roman" w:cs="Times New Roman"/>
          <w:sz w:val="24"/>
          <w:szCs w:val="24"/>
        </w:rPr>
        <w:t>: il diritto di difesa è irrimediabilmente compromesso</w:t>
      </w:r>
      <w:r w:rsidR="0044588D">
        <w:rPr>
          <w:rFonts w:ascii="Times New Roman" w:hAnsi="Times New Roman" w:cs="Times New Roman"/>
          <w:sz w:val="24"/>
          <w:szCs w:val="24"/>
        </w:rPr>
        <w:t>,</w:t>
      </w:r>
      <w:r>
        <w:rPr>
          <w:rFonts w:ascii="Times New Roman" w:hAnsi="Times New Roman" w:cs="Times New Roman"/>
          <w:sz w:val="24"/>
          <w:szCs w:val="24"/>
        </w:rPr>
        <w:t xml:space="preserve"> quando non sia stata data la possibilità ad una parte di interloquire con il giudice. Così accade, ad esempio, allorché, in un caso di sottrazione minorile internazionale, una persona attivi la procedura di rimpatrio dei propri figli, secondo il Regolamento Bruxelles </w:t>
      </w:r>
      <w:proofErr w:type="spellStart"/>
      <w:r>
        <w:rPr>
          <w:rFonts w:ascii="Times New Roman" w:hAnsi="Times New Roman" w:cs="Times New Roman"/>
          <w:sz w:val="24"/>
          <w:szCs w:val="24"/>
        </w:rPr>
        <w:t>II-bis</w:t>
      </w:r>
      <w:proofErr w:type="spellEnd"/>
      <w:r>
        <w:rPr>
          <w:rStyle w:val="Rimandonotaapidipagina"/>
          <w:rFonts w:ascii="Times New Roman" w:hAnsi="Times New Roman" w:cs="Times New Roman"/>
          <w:sz w:val="24"/>
          <w:szCs w:val="24"/>
        </w:rPr>
        <w:footnoteReference w:id="57"/>
      </w:r>
      <w:r>
        <w:rPr>
          <w:rFonts w:ascii="Times New Roman" w:hAnsi="Times New Roman" w:cs="Times New Roman"/>
          <w:sz w:val="24"/>
          <w:szCs w:val="24"/>
        </w:rPr>
        <w:t>,</w:t>
      </w:r>
      <w:r w:rsidR="0044588D">
        <w:rPr>
          <w:rFonts w:ascii="Times New Roman" w:hAnsi="Times New Roman" w:cs="Times New Roman"/>
          <w:sz w:val="24"/>
          <w:szCs w:val="24"/>
        </w:rPr>
        <w:t xml:space="preserve"> e</w:t>
      </w:r>
      <w:r>
        <w:rPr>
          <w:rFonts w:ascii="Times New Roman" w:hAnsi="Times New Roman" w:cs="Times New Roman"/>
          <w:sz w:val="24"/>
          <w:szCs w:val="24"/>
        </w:rPr>
        <w:t xml:space="preserve"> ottenga dallo Stato di cittadinanza</w:t>
      </w:r>
      <w:r w:rsidR="0044588D">
        <w:rPr>
          <w:rFonts w:ascii="Times New Roman" w:hAnsi="Times New Roman" w:cs="Times New Roman"/>
          <w:sz w:val="24"/>
          <w:szCs w:val="24"/>
        </w:rPr>
        <w:t xml:space="preserve"> una</w:t>
      </w:r>
      <w:r>
        <w:rPr>
          <w:rFonts w:ascii="Times New Roman" w:hAnsi="Times New Roman" w:cs="Times New Roman"/>
          <w:sz w:val="24"/>
          <w:szCs w:val="24"/>
        </w:rPr>
        <w:t xml:space="preserve"> decisione favorevole, poi non riconosciuta dalla Nazione in cui i minori si trovano, ad esito di una procedura cui l'interessato nemmeno ha avuto modo di partecipare</w:t>
      </w:r>
      <w:r>
        <w:rPr>
          <w:rStyle w:val="Rimandonotaapidipagina"/>
          <w:rFonts w:ascii="Times New Roman" w:hAnsi="Times New Roman" w:cs="Times New Roman"/>
          <w:sz w:val="24"/>
          <w:szCs w:val="24"/>
        </w:rPr>
        <w:footnoteReference w:id="58"/>
      </w:r>
      <w:r>
        <w:rPr>
          <w:rFonts w:ascii="Times New Roman" w:hAnsi="Times New Roman" w:cs="Times New Roman"/>
          <w:sz w:val="24"/>
          <w:szCs w:val="24"/>
        </w:rPr>
        <w:t xml:space="preserve">. </w:t>
      </w:r>
    </w:p>
    <w:p w:rsidR="00E03979" w:rsidRDefault="0044588D" w:rsidP="00E03979">
      <w:pPr>
        <w:spacing w:after="0"/>
        <w:jc w:val="both"/>
        <w:rPr>
          <w:rFonts w:ascii="Times New Roman" w:hAnsi="Times New Roman" w:cs="Times New Roman"/>
          <w:sz w:val="24"/>
          <w:szCs w:val="24"/>
        </w:rPr>
      </w:pPr>
      <w:r>
        <w:rPr>
          <w:rFonts w:ascii="Times New Roman" w:hAnsi="Times New Roman" w:cs="Times New Roman"/>
          <w:sz w:val="24"/>
          <w:szCs w:val="24"/>
        </w:rPr>
        <w:tab/>
        <w:t xml:space="preserve">L'endiadi dell'art. 65, che richiama tanto l'ordine pubblico, quanto i diritti essenziali della difesa, va letta nell'ottica di un'idea di processo equo, tale dovendo essere quello da cui è figliato l'atto che si vuole portare davanti al nostro giudice: quest'ultimo, infatti, potrà considerare quanto celebratosi dinnanzi al collega straniero </w:t>
      </w:r>
      <w:r>
        <w:rPr>
          <w:rFonts w:ascii="Times New Roman" w:hAnsi="Times New Roman" w:cs="Times New Roman"/>
          <w:sz w:val="24"/>
          <w:szCs w:val="24"/>
        </w:rPr>
        <w:lastRenderedPageBreak/>
        <w:t xml:space="preserve">solo se </w:t>
      </w:r>
      <w:r w:rsidR="00E03979" w:rsidRPr="00286CFE">
        <w:rPr>
          <w:rFonts w:ascii="Times New Roman" w:hAnsi="Times New Roman" w:cs="Times New Roman"/>
          <w:sz w:val="24"/>
          <w:szCs w:val="24"/>
        </w:rPr>
        <w:t>«riferibile ai principi inviolabili a garanzia del diritto di agire e di resistere in giudizio, e non ove investa le sole modalità con cui tali diritti sono regolamentati o si esplicano nelle singole fattispecie</w:t>
      </w:r>
      <w:r w:rsidR="00E03979">
        <w:rPr>
          <w:rFonts w:ascii="Times New Roman" w:hAnsi="Times New Roman" w:cs="Times New Roman"/>
          <w:sz w:val="24"/>
          <w:szCs w:val="24"/>
        </w:rPr>
        <w:t>»</w:t>
      </w:r>
      <w:r w:rsidR="00E03979">
        <w:rPr>
          <w:rStyle w:val="Rimandonotaapidipagina"/>
          <w:rFonts w:ascii="Times New Roman" w:hAnsi="Times New Roman" w:cs="Times New Roman"/>
          <w:sz w:val="24"/>
          <w:szCs w:val="24"/>
        </w:rPr>
        <w:footnoteReference w:id="59"/>
      </w:r>
      <w:r w:rsidR="00E03979">
        <w:rPr>
          <w:rFonts w:ascii="Times New Roman" w:hAnsi="Times New Roman" w:cs="Times New Roman"/>
          <w:sz w:val="24"/>
          <w:szCs w:val="24"/>
        </w:rPr>
        <w:t>.</w:t>
      </w:r>
    </w:p>
    <w:p w:rsidR="00E03979" w:rsidRDefault="00E03979" w:rsidP="00E03979">
      <w:pPr>
        <w:spacing w:after="0"/>
        <w:jc w:val="both"/>
        <w:rPr>
          <w:rFonts w:ascii="Times New Roman" w:hAnsi="Times New Roman" w:cs="Times New Roman"/>
          <w:sz w:val="24"/>
          <w:szCs w:val="24"/>
        </w:rPr>
      </w:pPr>
      <w:r>
        <w:rPr>
          <w:rFonts w:ascii="Times New Roman" w:hAnsi="Times New Roman" w:cs="Times New Roman"/>
          <w:sz w:val="24"/>
          <w:szCs w:val="24"/>
        </w:rPr>
        <w:tab/>
      </w:r>
      <w:r w:rsidR="00BC4280">
        <w:rPr>
          <w:rFonts w:ascii="Times New Roman" w:hAnsi="Times New Roman" w:cs="Times New Roman"/>
          <w:sz w:val="24"/>
          <w:szCs w:val="24"/>
        </w:rPr>
        <w:t xml:space="preserve">Si può, quindi, addivenire ad una prima conclusione. Avvertita l'esigenza di portare un atto dal contenzioso civile straniero in Italia, tanto il giudice penale, quanto quello civile – a seconda, quindi, del contesto di destinazione – può recepirlo </w:t>
      </w:r>
      <w:r>
        <w:rPr>
          <w:rFonts w:ascii="Times New Roman" w:hAnsi="Times New Roman" w:cs="Times New Roman"/>
          <w:sz w:val="24"/>
          <w:szCs w:val="24"/>
        </w:rPr>
        <w:t>solo quando ess</w:t>
      </w:r>
      <w:r w:rsidR="00BC4280">
        <w:rPr>
          <w:rFonts w:ascii="Times New Roman" w:hAnsi="Times New Roman" w:cs="Times New Roman"/>
          <w:sz w:val="24"/>
          <w:szCs w:val="24"/>
        </w:rPr>
        <w:t>o</w:t>
      </w:r>
      <w:r>
        <w:rPr>
          <w:rFonts w:ascii="Times New Roman" w:hAnsi="Times New Roman" w:cs="Times New Roman"/>
          <w:sz w:val="24"/>
          <w:szCs w:val="24"/>
        </w:rPr>
        <w:t xml:space="preserve"> sia venut</w:t>
      </w:r>
      <w:r w:rsidR="00BC4280">
        <w:rPr>
          <w:rFonts w:ascii="Times New Roman" w:hAnsi="Times New Roman" w:cs="Times New Roman"/>
          <w:sz w:val="24"/>
          <w:szCs w:val="24"/>
        </w:rPr>
        <w:t xml:space="preserve">o </w:t>
      </w:r>
      <w:r>
        <w:rPr>
          <w:rFonts w:ascii="Times New Roman" w:hAnsi="Times New Roman" w:cs="Times New Roman"/>
          <w:sz w:val="24"/>
          <w:szCs w:val="24"/>
        </w:rPr>
        <w:t>in essere in ossequio ai canoni del giusto processo.</w:t>
      </w:r>
    </w:p>
    <w:p w:rsidR="00BC4280" w:rsidRDefault="00BC4280" w:rsidP="00BC4280">
      <w:pPr>
        <w:spacing w:after="0"/>
        <w:jc w:val="both"/>
        <w:rPr>
          <w:rFonts w:ascii="Times New Roman" w:hAnsi="Times New Roman" w:cs="Times New Roman"/>
          <w:sz w:val="24"/>
          <w:szCs w:val="24"/>
        </w:rPr>
      </w:pPr>
      <w:r>
        <w:rPr>
          <w:rFonts w:ascii="Times New Roman" w:hAnsi="Times New Roman" w:cs="Times New Roman"/>
          <w:sz w:val="24"/>
          <w:szCs w:val="24"/>
        </w:rPr>
        <w:tab/>
        <w:t xml:space="preserve">Spetta ovviamente alle parti ingegnarsi per fare emergere davanti al giudice italiano l'infrazione dell'ordine processuale di cui si diceva. Qualora una parte chieda l'acquisizione di un verbale formato nel contenzioso civile straniero, il compartecipe che voglia, invece, evitare un siffatto risultato dovrà dimostrare la violazione dei diritti processuali di parte e, più in generale, i difetti occorsi nella formazione dell'atto, consistenti, ad esempio, nell'impossibilità per chi esperì l'azione o per chi l'ha subita di parteciparvi utilmente. Non vi sono limitazioni, sul piano probatorio del rito penale nostrano, per il conseguimento di un tale risultato; sotto altro profilo, sarà agevole per chi lamenta il </w:t>
      </w:r>
      <w:r>
        <w:rPr>
          <w:rFonts w:ascii="Times New Roman" w:hAnsi="Times New Roman" w:cs="Times New Roman"/>
          <w:i/>
          <w:sz w:val="24"/>
          <w:szCs w:val="24"/>
        </w:rPr>
        <w:t>vulnus</w:t>
      </w:r>
      <w:r>
        <w:rPr>
          <w:rFonts w:ascii="Times New Roman" w:hAnsi="Times New Roman" w:cs="Times New Roman"/>
          <w:sz w:val="24"/>
          <w:szCs w:val="24"/>
        </w:rPr>
        <w:t xml:space="preserve"> in argomento formulare la propria istanza ai sensi dell'art. 495, comma 2, </w:t>
      </w:r>
      <w:proofErr w:type="spellStart"/>
      <w:r>
        <w:rPr>
          <w:rFonts w:ascii="Times New Roman" w:hAnsi="Times New Roman" w:cs="Times New Roman"/>
          <w:sz w:val="24"/>
          <w:szCs w:val="24"/>
        </w:rPr>
        <w:t>c.p.p.</w:t>
      </w:r>
      <w:proofErr w:type="spellEnd"/>
      <w:r w:rsidRPr="00BC4280">
        <w:rPr>
          <w:rStyle w:val="Rimandonotaapidipagina"/>
          <w:rFonts w:ascii="Times New Roman" w:hAnsi="Times New Roman" w:cs="Times New Roman"/>
          <w:sz w:val="24"/>
          <w:szCs w:val="24"/>
        </w:rPr>
        <w:t xml:space="preserve"> </w:t>
      </w:r>
      <w:r>
        <w:rPr>
          <w:rStyle w:val="Rimandonotaapidipagina"/>
          <w:rFonts w:ascii="Times New Roman" w:hAnsi="Times New Roman" w:cs="Times New Roman"/>
          <w:sz w:val="24"/>
          <w:szCs w:val="24"/>
        </w:rPr>
        <w:footnoteReference w:id="60"/>
      </w:r>
      <w:r>
        <w:rPr>
          <w:rFonts w:ascii="Times New Roman" w:hAnsi="Times New Roman" w:cs="Times New Roman"/>
          <w:sz w:val="24"/>
          <w:szCs w:val="24"/>
        </w:rPr>
        <w:t xml:space="preserve">, in modo da controbilanciare l'altrui domanda di ingresso dell'atto straniero nel nostro rito. </w:t>
      </w:r>
    </w:p>
    <w:p w:rsidR="00BC4280" w:rsidRDefault="00BC4280" w:rsidP="00E03979">
      <w:pPr>
        <w:spacing w:after="0"/>
        <w:jc w:val="both"/>
        <w:rPr>
          <w:rFonts w:ascii="Times New Roman" w:hAnsi="Times New Roman" w:cs="Times New Roman"/>
          <w:sz w:val="24"/>
          <w:szCs w:val="24"/>
        </w:rPr>
      </w:pPr>
      <w:r>
        <w:rPr>
          <w:rFonts w:ascii="Times New Roman" w:hAnsi="Times New Roman" w:cs="Times New Roman"/>
          <w:sz w:val="24"/>
          <w:szCs w:val="24"/>
        </w:rPr>
        <w:tab/>
        <w:t xml:space="preserve">Si badi bene: anche quanti considerassero il tema in parola alla stregua di una semplice questione sulla prova documentale, senza, quindi, scomodare la l. n. 218 del 1995, pur incorrendo, ad avviso di chi scrive, in un errore sul piano dogmatico, si scontrerebbero sempre e comunque </w:t>
      </w:r>
      <w:r w:rsidR="002C6FB6">
        <w:rPr>
          <w:rFonts w:ascii="Times New Roman" w:hAnsi="Times New Roman" w:cs="Times New Roman"/>
          <w:sz w:val="24"/>
          <w:szCs w:val="24"/>
        </w:rPr>
        <w:t>con la possibilità, per la parte che trarrebbe pregiudizio dall'uso processuale dell'atto straniero, di richiedere a prova contraria l'assunzione di quelle prove che attestassero la violazione dell'ordine pubblico processuale nel contenzioso estero: difatti, anche a considerarla un semplice documento, quella prova sarebbe sempre e comunque assoggettata ai principi della legge e della Costituzione, valevoli – ed è ovvio, prim'ancora che giusto – in ogni contesto giudiziario interno, pena la declaratoria di inutilizzabilità</w:t>
      </w:r>
      <w:r w:rsidR="002C6FB6">
        <w:rPr>
          <w:rStyle w:val="Rimandonotaapidipagina"/>
          <w:rFonts w:ascii="Times New Roman" w:hAnsi="Times New Roman" w:cs="Times New Roman"/>
          <w:sz w:val="24"/>
          <w:szCs w:val="24"/>
        </w:rPr>
        <w:footnoteReference w:id="61"/>
      </w:r>
      <w:r w:rsidR="002C6FB6">
        <w:rPr>
          <w:rFonts w:ascii="Times New Roman" w:hAnsi="Times New Roman" w:cs="Times New Roman"/>
          <w:sz w:val="24"/>
          <w:szCs w:val="24"/>
        </w:rPr>
        <w:t xml:space="preserve">. </w:t>
      </w:r>
    </w:p>
    <w:p w:rsidR="006C3A30" w:rsidRDefault="006C3A30" w:rsidP="00E03979">
      <w:pPr>
        <w:spacing w:after="0"/>
        <w:jc w:val="both"/>
        <w:rPr>
          <w:rFonts w:ascii="Times New Roman" w:hAnsi="Times New Roman" w:cs="Times New Roman"/>
          <w:sz w:val="24"/>
          <w:szCs w:val="24"/>
        </w:rPr>
      </w:pPr>
    </w:p>
    <w:p w:rsidR="00F27913" w:rsidRDefault="006C3A30" w:rsidP="00DF3FC3">
      <w:pPr>
        <w:spacing w:after="0"/>
        <w:jc w:val="both"/>
        <w:rPr>
          <w:rFonts w:ascii="Times New Roman" w:hAnsi="Times New Roman" w:cs="Times New Roman"/>
          <w:sz w:val="24"/>
          <w:szCs w:val="24"/>
        </w:rPr>
      </w:pPr>
      <w:r>
        <w:rPr>
          <w:rFonts w:ascii="Times New Roman" w:hAnsi="Times New Roman" w:cs="Times New Roman"/>
          <w:b/>
          <w:sz w:val="24"/>
          <w:szCs w:val="24"/>
        </w:rPr>
        <w:t>5.</w:t>
      </w:r>
      <w:r w:rsidR="00F27913">
        <w:rPr>
          <w:rFonts w:ascii="Times New Roman" w:hAnsi="Times New Roman" w:cs="Times New Roman"/>
          <w:b/>
          <w:sz w:val="24"/>
          <w:szCs w:val="24"/>
        </w:rPr>
        <w:t xml:space="preserve"> </w:t>
      </w:r>
      <w:r w:rsidR="00F27913">
        <w:rPr>
          <w:rFonts w:ascii="Times New Roman" w:hAnsi="Times New Roman" w:cs="Times New Roman"/>
        </w:rPr>
        <w:t>.</w:t>
      </w:r>
      <w:r w:rsidR="00F27913" w:rsidRPr="00F27913">
        <w:rPr>
          <w:rFonts w:ascii="Times New Roman" w:hAnsi="Times New Roman" w:cs="Times New Roman"/>
          <w:b/>
          <w:smallCaps/>
          <w:sz w:val="28"/>
          <w:szCs w:val="28"/>
        </w:rPr>
        <w:t>.. Una seconda possibile soluzione: riflessioni sul rinvio pregiudiziale alla Corte di giustizia dell'Unione europea</w:t>
      </w:r>
      <w:r w:rsidRPr="00F27913">
        <w:rPr>
          <w:rFonts w:ascii="Times New Roman" w:hAnsi="Times New Roman" w:cs="Times New Roman"/>
          <w:b/>
          <w:smallCaps/>
          <w:sz w:val="28"/>
          <w:szCs w:val="28"/>
        </w:rPr>
        <w:t xml:space="preserve"> </w:t>
      </w:r>
    </w:p>
    <w:p w:rsidR="005B746A" w:rsidRDefault="00E57C14" w:rsidP="00DF3FC3">
      <w:pPr>
        <w:spacing w:after="0"/>
        <w:jc w:val="both"/>
        <w:rPr>
          <w:rFonts w:ascii="Times New Roman" w:hAnsi="Times New Roman" w:cs="Times New Roman"/>
          <w:sz w:val="24"/>
          <w:szCs w:val="24"/>
        </w:rPr>
      </w:pPr>
      <w:r>
        <w:rPr>
          <w:rFonts w:ascii="Times New Roman" w:hAnsi="Times New Roman" w:cs="Times New Roman"/>
          <w:sz w:val="24"/>
          <w:szCs w:val="24"/>
        </w:rPr>
        <w:t>La più acuta dottrina rileva come le recenti – e, per certi versi, ipertrofiche</w:t>
      </w:r>
      <w:r>
        <w:rPr>
          <w:rStyle w:val="Rimandonotaapidipagina"/>
          <w:rFonts w:ascii="Times New Roman" w:hAnsi="Times New Roman" w:cs="Times New Roman"/>
          <w:sz w:val="24"/>
          <w:szCs w:val="24"/>
        </w:rPr>
        <w:footnoteReference w:id="62"/>
      </w:r>
      <w:r>
        <w:rPr>
          <w:rFonts w:ascii="Times New Roman" w:hAnsi="Times New Roman" w:cs="Times New Roman"/>
          <w:sz w:val="24"/>
          <w:szCs w:val="24"/>
        </w:rPr>
        <w:t xml:space="preserve"> – normative in punto di cooperazione penale siano ricche di norme processuali in bianco, che lasciano agli Stati e, soprattutto, alla giurisprudenza il compito di determinarne l'esatto contenuto in ragione delle regole processuali e, </w:t>
      </w:r>
      <w:r>
        <w:rPr>
          <w:rFonts w:ascii="Times New Roman" w:hAnsi="Times New Roman" w:cs="Times New Roman"/>
          <w:i/>
          <w:sz w:val="24"/>
          <w:szCs w:val="24"/>
        </w:rPr>
        <w:t>in primis</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probatorie applicabili a livello interno e stante, peraltro, l’incapacità degli Stati di accordarsi ai fini dell’edificazione di un modello probatorio – e, dunque, nuovamente, processuale – unitario</w:t>
      </w:r>
      <w:r>
        <w:rPr>
          <w:rStyle w:val="Rimandonotaapidipagina"/>
          <w:rFonts w:ascii="Times New Roman" w:hAnsi="Times New Roman" w:cs="Times New Roman"/>
          <w:sz w:val="24"/>
          <w:szCs w:val="24"/>
        </w:rPr>
        <w:footnoteReference w:id="63"/>
      </w:r>
      <w:r>
        <w:rPr>
          <w:rFonts w:ascii="Times New Roman" w:hAnsi="Times New Roman" w:cs="Times New Roman"/>
          <w:sz w:val="24"/>
          <w:szCs w:val="24"/>
        </w:rPr>
        <w:t xml:space="preserve">. Non fa eccezione la direttiva 2014/41/UE che, proprio all'art. 11, lett. </w:t>
      </w:r>
      <w:r>
        <w:rPr>
          <w:rFonts w:ascii="Times New Roman" w:hAnsi="Times New Roman" w:cs="Times New Roman"/>
          <w:i/>
          <w:sz w:val="24"/>
          <w:szCs w:val="24"/>
        </w:rPr>
        <w:t>f)</w:t>
      </w:r>
      <w:r>
        <w:rPr>
          <w:rFonts w:ascii="Times New Roman" w:hAnsi="Times New Roman" w:cs="Times New Roman"/>
          <w:sz w:val="24"/>
          <w:szCs w:val="24"/>
        </w:rPr>
        <w:t xml:space="preserve">, impedisce il riconoscimento o l'esecuzione di un ordine europeo d'indagine quando «sussistono seri motivi per ritenere che l’esecuzione dell’atto richiesto nell’OEI sia incompatibile con gli obblighi dello Stato di esecuzione ai sensi dell’art. 6 TUE e della Carta». Più in generale, provvedimenti quale quello testé citato o la decisione-quadro 2009/829/GAI – da poco (e, diremmo, finalmente) recepita per parte italiana – o, ancora, la direttiva 2011/99/UE sull'ordine europeo di protezione usano clausole come </w:t>
      </w:r>
      <w:r>
        <w:rPr>
          <w:rFonts w:ascii="Times New Roman" w:hAnsi="Times New Roman" w:cs="Times New Roman"/>
          <w:i/>
          <w:sz w:val="24"/>
          <w:szCs w:val="24"/>
        </w:rPr>
        <w:t>principi fondamentali</w:t>
      </w:r>
      <w:r>
        <w:rPr>
          <w:rFonts w:ascii="Times New Roman" w:hAnsi="Times New Roman" w:cs="Times New Roman"/>
          <w:sz w:val="24"/>
          <w:szCs w:val="24"/>
        </w:rPr>
        <w:t xml:space="preserve"> o </w:t>
      </w:r>
      <w:r>
        <w:rPr>
          <w:rFonts w:ascii="Times New Roman" w:hAnsi="Times New Roman" w:cs="Times New Roman"/>
          <w:i/>
          <w:sz w:val="24"/>
          <w:szCs w:val="24"/>
        </w:rPr>
        <w:t>ordine pubblico</w:t>
      </w:r>
      <w:r>
        <w:rPr>
          <w:rFonts w:ascii="Times New Roman" w:hAnsi="Times New Roman" w:cs="Times New Roman"/>
          <w:sz w:val="24"/>
          <w:szCs w:val="24"/>
        </w:rPr>
        <w:t>, di per sé vuote, se non accompagnate da una solida esegesi giurisprudenziale</w:t>
      </w:r>
      <w:r>
        <w:rPr>
          <w:rStyle w:val="Rimandonotaapidipagina"/>
          <w:rFonts w:ascii="Times New Roman" w:hAnsi="Times New Roman" w:cs="Times New Roman"/>
          <w:sz w:val="24"/>
          <w:szCs w:val="24"/>
        </w:rPr>
        <w:footnoteReference w:id="64"/>
      </w:r>
      <w:r>
        <w:rPr>
          <w:rFonts w:ascii="Times New Roman" w:hAnsi="Times New Roman" w:cs="Times New Roman"/>
          <w:sz w:val="24"/>
          <w:szCs w:val="24"/>
        </w:rPr>
        <w:t xml:space="preserve">. </w:t>
      </w:r>
    </w:p>
    <w:p w:rsidR="002C21E8" w:rsidRDefault="00E57C14" w:rsidP="002C21E8">
      <w:pPr>
        <w:spacing w:after="0"/>
        <w:jc w:val="both"/>
        <w:rPr>
          <w:rFonts w:ascii="Times New Roman" w:hAnsi="Times New Roman" w:cs="Times New Roman"/>
          <w:iCs/>
          <w:sz w:val="24"/>
          <w:szCs w:val="24"/>
        </w:rPr>
      </w:pPr>
      <w:r>
        <w:rPr>
          <w:rFonts w:ascii="Times New Roman" w:hAnsi="Times New Roman" w:cs="Times New Roman"/>
          <w:sz w:val="24"/>
          <w:szCs w:val="24"/>
        </w:rPr>
        <w:tab/>
        <w:t xml:space="preserve">In linea assolutamente generale, va detto che non può esservi cooperazione tra Stati se manca unanimità di vedute in ordine al modo di intendere i diritti e al modo di costruire il processo che segue alla loro violazione. Sia chiaro: sotto quest'ultimo profilo, occorre distinguere tra </w:t>
      </w:r>
      <w:r>
        <w:rPr>
          <w:rFonts w:ascii="Times New Roman" w:hAnsi="Times New Roman" w:cs="Times New Roman"/>
          <w:i/>
          <w:sz w:val="24"/>
          <w:szCs w:val="24"/>
        </w:rPr>
        <w:t xml:space="preserve">modello processuale </w:t>
      </w:r>
      <w:r>
        <w:rPr>
          <w:rFonts w:ascii="Times New Roman" w:hAnsi="Times New Roman" w:cs="Times New Roman"/>
          <w:sz w:val="24"/>
          <w:szCs w:val="24"/>
        </w:rPr>
        <w:t xml:space="preserve">e </w:t>
      </w:r>
      <w:r>
        <w:rPr>
          <w:rFonts w:ascii="Times New Roman" w:hAnsi="Times New Roman" w:cs="Times New Roman"/>
          <w:i/>
          <w:sz w:val="24"/>
          <w:szCs w:val="24"/>
        </w:rPr>
        <w:t>ordine processuale</w:t>
      </w:r>
      <w:r>
        <w:rPr>
          <w:rFonts w:ascii="Times New Roman" w:hAnsi="Times New Roman" w:cs="Times New Roman"/>
          <w:sz w:val="24"/>
          <w:szCs w:val="24"/>
        </w:rPr>
        <w:t>, nemmeno potendosi ipotizzare</w:t>
      </w:r>
      <w:r w:rsidR="002C21E8">
        <w:rPr>
          <w:rFonts w:ascii="Times New Roman" w:hAnsi="Times New Roman" w:cs="Times New Roman"/>
          <w:sz w:val="24"/>
          <w:szCs w:val="24"/>
        </w:rPr>
        <w:t xml:space="preserve">, quale condizione di esistenza di un rapporto collaborativo tra Stati, l'identità del codice di rito penale. Se l'idea di modello – concepibile nei termini di «meccanismo che </w:t>
      </w:r>
      <w:proofErr w:type="spellStart"/>
      <w:r w:rsidR="002C21E8">
        <w:rPr>
          <w:rFonts w:ascii="Times New Roman" w:hAnsi="Times New Roman" w:cs="Times New Roman"/>
          <w:sz w:val="24"/>
          <w:szCs w:val="24"/>
        </w:rPr>
        <w:t>aspir</w:t>
      </w:r>
      <w:proofErr w:type="spellEnd"/>
      <w:r w:rsidR="002C21E8">
        <w:rPr>
          <w:rFonts w:ascii="Times New Roman" w:hAnsi="Times New Roman" w:cs="Times New Roman"/>
          <w:sz w:val="24"/>
          <w:szCs w:val="24"/>
        </w:rPr>
        <w:t xml:space="preserve">[a] ad esercitare un controllo sulla criminalità ... </w:t>
      </w:r>
      <w:proofErr w:type="spellStart"/>
      <w:r w:rsidR="002C21E8">
        <w:rPr>
          <w:rFonts w:ascii="Times New Roman" w:hAnsi="Times New Roman" w:cs="Times New Roman"/>
          <w:sz w:val="24"/>
          <w:szCs w:val="24"/>
        </w:rPr>
        <w:t>variabil</w:t>
      </w:r>
      <w:proofErr w:type="spellEnd"/>
      <w:r w:rsidR="002C21E8">
        <w:rPr>
          <w:rFonts w:ascii="Times New Roman" w:hAnsi="Times New Roman" w:cs="Times New Roman"/>
          <w:sz w:val="24"/>
          <w:szCs w:val="24"/>
        </w:rPr>
        <w:t xml:space="preserve">[e] </w:t>
      </w:r>
      <w:proofErr w:type="spellStart"/>
      <w:r w:rsidR="002C21E8">
        <w:rPr>
          <w:rFonts w:ascii="Times New Roman" w:hAnsi="Times New Roman" w:cs="Times New Roman"/>
          <w:sz w:val="24"/>
          <w:szCs w:val="24"/>
        </w:rPr>
        <w:t>dipendent</w:t>
      </w:r>
      <w:proofErr w:type="spellEnd"/>
      <w:r w:rsidR="002C21E8">
        <w:rPr>
          <w:rFonts w:ascii="Times New Roman" w:hAnsi="Times New Roman" w:cs="Times New Roman"/>
          <w:sz w:val="24"/>
          <w:szCs w:val="24"/>
        </w:rPr>
        <w:t>[e] dal tempo, dallo spazio, dai rapporti e dalle società prese in considerazione»</w:t>
      </w:r>
      <w:r w:rsidR="002C21E8">
        <w:rPr>
          <w:rStyle w:val="Rimandonotaapidipagina"/>
          <w:rFonts w:ascii="Times New Roman" w:hAnsi="Times New Roman" w:cs="Times New Roman"/>
          <w:sz w:val="24"/>
          <w:szCs w:val="24"/>
        </w:rPr>
        <w:footnoteReference w:id="65"/>
      </w:r>
      <w:r w:rsidR="002C21E8">
        <w:rPr>
          <w:rFonts w:ascii="Times New Roman" w:hAnsi="Times New Roman" w:cs="Times New Roman"/>
          <w:sz w:val="24"/>
          <w:szCs w:val="24"/>
        </w:rPr>
        <w:t xml:space="preserve"> – attiene alla struttura del giudizio, quella di ordine concerne maggiormente gli equilibri nei rapporti tra le parti. Con un esempio, tanto nell'ordinamento italiano, quanto in quello statunitense si dà voce alla difesa dell'imputato, presunto non colpevole fino a sentenza definitiva di condanna</w:t>
      </w:r>
      <w:r w:rsidR="002C21E8">
        <w:rPr>
          <w:rStyle w:val="Rimandonotaapidipagina"/>
          <w:rFonts w:ascii="Times New Roman" w:hAnsi="Times New Roman" w:cs="Times New Roman"/>
          <w:sz w:val="24"/>
          <w:szCs w:val="24"/>
        </w:rPr>
        <w:footnoteReference w:id="66"/>
      </w:r>
      <w:r w:rsidR="002C21E8">
        <w:rPr>
          <w:rFonts w:ascii="Times New Roman" w:hAnsi="Times New Roman" w:cs="Times New Roman"/>
          <w:sz w:val="24"/>
          <w:szCs w:val="24"/>
        </w:rPr>
        <w:t xml:space="preserve">; tuttavia, nel sistema nordamericano esiste un soggetto </w:t>
      </w:r>
      <w:r w:rsidR="002C21E8">
        <w:rPr>
          <w:rFonts w:ascii="Times New Roman" w:hAnsi="Times New Roman" w:cs="Times New Roman"/>
          <w:iCs/>
          <w:sz w:val="24"/>
          <w:szCs w:val="24"/>
        </w:rPr>
        <w:t xml:space="preserve">– la giuria – ignoto, in quelle forme, al rito </w:t>
      </w:r>
      <w:r w:rsidR="002C21E8">
        <w:rPr>
          <w:rFonts w:ascii="Times New Roman" w:hAnsi="Times New Roman" w:cs="Times New Roman"/>
          <w:iCs/>
          <w:sz w:val="24"/>
          <w:szCs w:val="24"/>
        </w:rPr>
        <w:lastRenderedPageBreak/>
        <w:t xml:space="preserve">penale nostrano. Modelli diversi cui sottende, però, un'identità di valori, almeno sotto il profilo dell’onere della prova, gravante sull’accusa e non su colui che deve difendersene  in giudizio. </w:t>
      </w:r>
    </w:p>
    <w:p w:rsidR="002C21E8" w:rsidRDefault="002C21E8" w:rsidP="002C21E8">
      <w:pPr>
        <w:spacing w:after="0"/>
        <w:jc w:val="both"/>
        <w:rPr>
          <w:rFonts w:ascii="Times New Roman" w:hAnsi="Times New Roman" w:cs="Times New Roman"/>
          <w:iCs/>
          <w:sz w:val="24"/>
          <w:szCs w:val="24"/>
        </w:rPr>
      </w:pPr>
      <w:r>
        <w:rPr>
          <w:rFonts w:ascii="Times New Roman" w:hAnsi="Times New Roman" w:cs="Times New Roman"/>
          <w:iCs/>
          <w:sz w:val="24"/>
          <w:szCs w:val="24"/>
        </w:rPr>
        <w:tab/>
        <w:t xml:space="preserve">La breve premessa induce senza mediazioni alla seconda delle due soluzioni proposte al problema del passaggio di una prova dal giudizio civile straniero al penale nostrano. </w:t>
      </w:r>
    </w:p>
    <w:p w:rsidR="002C21E8" w:rsidRDefault="002C21E8" w:rsidP="002C21E8">
      <w:pPr>
        <w:spacing w:after="0"/>
        <w:jc w:val="both"/>
        <w:rPr>
          <w:rFonts w:ascii="Times New Roman" w:hAnsi="Times New Roman" w:cs="Times New Roman"/>
          <w:iCs/>
          <w:sz w:val="24"/>
          <w:szCs w:val="24"/>
        </w:rPr>
      </w:pPr>
      <w:r>
        <w:rPr>
          <w:rFonts w:ascii="Times New Roman" w:hAnsi="Times New Roman" w:cs="Times New Roman"/>
          <w:iCs/>
          <w:sz w:val="24"/>
          <w:szCs w:val="24"/>
        </w:rPr>
        <w:tab/>
        <w:t xml:space="preserve">L'idea di un'identità di valori che rende possibile la cooperazione tra Stati può applicarsi anche nell'attuale campo d'indagine. E, ancora, trova senz'altro terreno fertile l'altro argomento, della necessità di un costante </w:t>
      </w:r>
      <w:proofErr w:type="spellStart"/>
      <w:r>
        <w:rPr>
          <w:rFonts w:ascii="Times New Roman" w:hAnsi="Times New Roman" w:cs="Times New Roman"/>
          <w:iCs/>
          <w:sz w:val="24"/>
          <w:szCs w:val="24"/>
        </w:rPr>
        <w:t>lavorìo</w:t>
      </w:r>
      <w:proofErr w:type="spellEnd"/>
      <w:r>
        <w:rPr>
          <w:rFonts w:ascii="Times New Roman" w:hAnsi="Times New Roman" w:cs="Times New Roman"/>
          <w:iCs/>
          <w:sz w:val="24"/>
          <w:szCs w:val="24"/>
        </w:rPr>
        <w:t xml:space="preserve"> giurisprudenziale, finalizzato a dare forma a concetti altrimenti vaghi e vuoti, quali quello di "principi fondamentali" o l'altro, di "ordine pubblico". </w:t>
      </w:r>
    </w:p>
    <w:p w:rsidR="002C21E8" w:rsidRDefault="002C21E8" w:rsidP="002C21E8">
      <w:pPr>
        <w:spacing w:after="0"/>
        <w:jc w:val="both"/>
        <w:rPr>
          <w:rFonts w:ascii="Times New Roman" w:hAnsi="Times New Roman" w:cs="Times New Roman"/>
          <w:sz w:val="24"/>
          <w:szCs w:val="24"/>
        </w:rPr>
      </w:pPr>
      <w:r>
        <w:rPr>
          <w:rFonts w:ascii="Times New Roman" w:hAnsi="Times New Roman" w:cs="Times New Roman"/>
          <w:iCs/>
          <w:sz w:val="24"/>
          <w:szCs w:val="24"/>
        </w:rPr>
        <w:tab/>
        <w:t xml:space="preserve">Limitando volutamente il discorso all'Unione europea, </w:t>
      </w:r>
      <w:r>
        <w:rPr>
          <w:rFonts w:ascii="Times New Roman" w:hAnsi="Times New Roman" w:cs="Times New Roman"/>
          <w:sz w:val="24"/>
          <w:szCs w:val="24"/>
        </w:rPr>
        <w:t xml:space="preserve">l’integrazione che proviene dai corpi giudicanti, per essere tale, deve risultare dal dialogo tra le corti interne e quelle europee, così da calibrare al meglio sia le ricadute dell’accezione europeistica di ordine pubblico in ambito nazionale, sia, viceversa, le inevitabili influenze del diritto interno nella formazione </w:t>
      </w:r>
      <w:proofErr w:type="spellStart"/>
      <w:r>
        <w:rPr>
          <w:rFonts w:ascii="Times New Roman" w:hAnsi="Times New Roman" w:cs="Times New Roman"/>
          <w:sz w:val="24"/>
          <w:szCs w:val="24"/>
        </w:rPr>
        <w:t>eurounitaria</w:t>
      </w:r>
      <w:proofErr w:type="spellEnd"/>
      <w:r>
        <w:rPr>
          <w:rFonts w:ascii="Times New Roman" w:hAnsi="Times New Roman" w:cs="Times New Roman"/>
          <w:sz w:val="24"/>
          <w:szCs w:val="24"/>
        </w:rPr>
        <w:t xml:space="preserve"> del concetto di ordine pubblico.</w:t>
      </w:r>
    </w:p>
    <w:p w:rsidR="002C21E8" w:rsidRDefault="002C21E8" w:rsidP="002C21E8">
      <w:pPr>
        <w:spacing w:after="0"/>
        <w:jc w:val="both"/>
        <w:rPr>
          <w:rFonts w:ascii="Times New Roman" w:hAnsi="Times New Roman" w:cs="Times New Roman"/>
          <w:sz w:val="24"/>
          <w:szCs w:val="24"/>
        </w:rPr>
      </w:pPr>
      <w:r>
        <w:rPr>
          <w:rFonts w:ascii="Times New Roman" w:hAnsi="Times New Roman" w:cs="Times New Roman"/>
          <w:sz w:val="24"/>
          <w:szCs w:val="24"/>
        </w:rPr>
        <w:tab/>
        <w:t>Il doppio movimento appena descritto si compie al meglio – e, quindi, elegge a  principale motore di funzionamento</w:t>
      </w:r>
      <w:r>
        <w:rPr>
          <w:rStyle w:val="Rimandonotaapidipagina"/>
          <w:rFonts w:ascii="Times New Roman" w:hAnsi="Times New Roman" w:cs="Times New Roman"/>
          <w:sz w:val="24"/>
          <w:szCs w:val="24"/>
        </w:rPr>
        <w:footnoteReference w:id="67"/>
      </w:r>
      <w:r>
        <w:rPr>
          <w:rFonts w:ascii="Times New Roman" w:hAnsi="Times New Roman" w:cs="Times New Roman"/>
          <w:sz w:val="24"/>
          <w:szCs w:val="24"/>
        </w:rPr>
        <w:t xml:space="preserve"> – il </w:t>
      </w:r>
      <w:r w:rsidRPr="002C21E8">
        <w:rPr>
          <w:rFonts w:ascii="Times New Roman" w:hAnsi="Times New Roman" w:cs="Times New Roman"/>
          <w:i/>
          <w:sz w:val="24"/>
          <w:szCs w:val="24"/>
        </w:rPr>
        <w:t>rimedio pregiudiziale</w:t>
      </w:r>
      <w:r>
        <w:rPr>
          <w:rFonts w:ascii="Times New Roman" w:hAnsi="Times New Roman" w:cs="Times New Roman"/>
          <w:sz w:val="24"/>
          <w:szCs w:val="24"/>
        </w:rPr>
        <w:t>, già previsto dall’art. 234 del Trattato istitutivo della Comunità europea ed oggi regolato, nelle sue linee di fondo, dall’art. 267 del Trattato sul funzionamento dell’Unione</w:t>
      </w:r>
      <w:r>
        <w:rPr>
          <w:rStyle w:val="Rimandonotaapidipagina"/>
          <w:rFonts w:ascii="Times New Roman" w:hAnsi="Times New Roman" w:cs="Times New Roman"/>
          <w:sz w:val="24"/>
          <w:szCs w:val="24"/>
        </w:rPr>
        <w:footnoteReference w:id="68"/>
      </w:r>
      <w:r>
        <w:rPr>
          <w:rFonts w:ascii="Times New Roman" w:hAnsi="Times New Roman" w:cs="Times New Roman"/>
          <w:sz w:val="24"/>
          <w:szCs w:val="24"/>
        </w:rPr>
        <w:t>.</w:t>
      </w:r>
    </w:p>
    <w:p w:rsidR="002C21E8" w:rsidRDefault="002C21E8" w:rsidP="002C21E8">
      <w:pPr>
        <w:spacing w:after="0"/>
        <w:jc w:val="both"/>
        <w:rPr>
          <w:rFonts w:ascii="Times New Roman" w:hAnsi="Times New Roman" w:cs="Times New Roman"/>
          <w:sz w:val="24"/>
          <w:szCs w:val="24"/>
        </w:rPr>
      </w:pPr>
      <w:r>
        <w:rPr>
          <w:rFonts w:ascii="Times New Roman" w:hAnsi="Times New Roman" w:cs="Times New Roman"/>
          <w:iCs/>
          <w:sz w:val="24"/>
          <w:szCs w:val="24"/>
        </w:rPr>
        <w:tab/>
        <w:t xml:space="preserve">Ricordando i tratti essenziali dell'istituto, </w:t>
      </w:r>
      <w:r>
        <w:rPr>
          <w:rFonts w:ascii="Times New Roman" w:hAnsi="Times New Roman" w:cs="Times New Roman"/>
          <w:sz w:val="24"/>
          <w:szCs w:val="24"/>
        </w:rPr>
        <w:t xml:space="preserve">sicuramente, in caso di dubbio circa la compatibilità delle proprie regole di esclusione o di valutazione rispetto al diritto </w:t>
      </w:r>
      <w:proofErr w:type="spellStart"/>
      <w:r>
        <w:rPr>
          <w:rFonts w:ascii="Times New Roman" w:hAnsi="Times New Roman" w:cs="Times New Roman"/>
          <w:sz w:val="24"/>
          <w:szCs w:val="24"/>
        </w:rPr>
        <w:t>eurounitario</w:t>
      </w:r>
      <w:proofErr w:type="spellEnd"/>
      <w:r>
        <w:rPr>
          <w:rFonts w:ascii="Times New Roman" w:hAnsi="Times New Roman" w:cs="Times New Roman"/>
          <w:sz w:val="24"/>
          <w:szCs w:val="24"/>
        </w:rPr>
        <w:t>, uno Stato potrà sollevare la relativa questione davanti alla Corte di giustizia dell’Unione, pur, però, sempre valendo il monito proveniente proprio dai giudici lussemburghesi per cui «</w:t>
      </w:r>
      <w:r w:rsidRPr="00607859">
        <w:rPr>
          <w:rFonts w:ascii="Times New Roman" w:hAnsi="Times New Roman" w:cs="Times New Roman"/>
          <w:sz w:val="24"/>
          <w:szCs w:val="24"/>
        </w:rPr>
        <w:t>l'obbligo per il giudice nazionale di fare riferimento al contenuto di una decisione-quadro</w:t>
      </w:r>
      <w:r>
        <w:rPr>
          <w:rFonts w:ascii="Times New Roman" w:hAnsi="Times New Roman" w:cs="Times New Roman"/>
          <w:sz w:val="24"/>
          <w:szCs w:val="24"/>
        </w:rPr>
        <w:t>» – od, oggi, dopo Lisbona, di una direttiva</w:t>
      </w:r>
      <w:r w:rsidRPr="00607859">
        <w:rPr>
          <w:rFonts w:ascii="Times New Roman" w:hAnsi="Times New Roman" w:cs="Times New Roman"/>
          <w:sz w:val="24"/>
          <w:szCs w:val="24"/>
        </w:rPr>
        <w:t xml:space="preserve"> </w:t>
      </w:r>
      <w:r>
        <w:rPr>
          <w:rFonts w:ascii="Times New Roman" w:hAnsi="Times New Roman" w:cs="Times New Roman"/>
          <w:sz w:val="24"/>
          <w:szCs w:val="24"/>
        </w:rPr>
        <w:t>–«</w:t>
      </w:r>
      <w:r w:rsidRPr="00607859">
        <w:rPr>
          <w:rFonts w:ascii="Times New Roman" w:hAnsi="Times New Roman" w:cs="Times New Roman"/>
          <w:sz w:val="24"/>
          <w:szCs w:val="24"/>
        </w:rPr>
        <w:t>nell'interpretazione delle norme pertinenti del suo diritto nazionale cessa quando quest'ultimo non può ricevere un'applicazione tale da sfociare in un risultato compatibile con quel</w:t>
      </w:r>
      <w:r>
        <w:rPr>
          <w:rFonts w:ascii="Times New Roman" w:hAnsi="Times New Roman" w:cs="Times New Roman"/>
          <w:sz w:val="24"/>
          <w:szCs w:val="24"/>
        </w:rPr>
        <w:t>lo perseguito da tale decisione-</w:t>
      </w:r>
      <w:r w:rsidRPr="00607859">
        <w:rPr>
          <w:rFonts w:ascii="Times New Roman" w:hAnsi="Times New Roman" w:cs="Times New Roman"/>
          <w:sz w:val="24"/>
          <w:szCs w:val="24"/>
        </w:rPr>
        <w:t xml:space="preserve">quadro. In altri termini, il principio di interpretazione conforme non può servire da fondamento ad un'interpretazione </w:t>
      </w:r>
      <w:r w:rsidRPr="00607859">
        <w:rPr>
          <w:rFonts w:ascii="Times New Roman" w:hAnsi="Times New Roman" w:cs="Times New Roman"/>
          <w:i/>
          <w:sz w:val="24"/>
          <w:szCs w:val="24"/>
        </w:rPr>
        <w:t xml:space="preserve">contra </w:t>
      </w:r>
      <w:proofErr w:type="spellStart"/>
      <w:r w:rsidRPr="00607859">
        <w:rPr>
          <w:rFonts w:ascii="Times New Roman" w:hAnsi="Times New Roman" w:cs="Times New Roman"/>
          <w:i/>
          <w:sz w:val="24"/>
          <w:szCs w:val="24"/>
        </w:rPr>
        <w:t>legem</w:t>
      </w:r>
      <w:proofErr w:type="spellEnd"/>
      <w:r w:rsidRPr="00AB1D1B">
        <w:rPr>
          <w:rFonts w:ascii="Times New Roman" w:hAnsi="Times New Roman" w:cs="Times New Roman"/>
          <w:i/>
          <w:sz w:val="24"/>
          <w:szCs w:val="24"/>
        </w:rPr>
        <w:t xml:space="preserve"> </w:t>
      </w:r>
      <w:r w:rsidRPr="002934FF">
        <w:rPr>
          <w:rFonts w:ascii="Times New Roman" w:hAnsi="Times New Roman" w:cs="Times New Roman"/>
          <w:sz w:val="24"/>
          <w:szCs w:val="24"/>
        </w:rPr>
        <w:t>del diritto nazionale</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69"/>
      </w:r>
      <w:r>
        <w:rPr>
          <w:rFonts w:ascii="Times New Roman" w:hAnsi="Times New Roman" w:cs="Times New Roman"/>
          <w:sz w:val="24"/>
          <w:szCs w:val="24"/>
        </w:rPr>
        <w:t>.</w:t>
      </w:r>
    </w:p>
    <w:p w:rsidR="00E57C14" w:rsidRDefault="002C21E8" w:rsidP="00DF3FC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La sfida risiede, dunque, nell'individuare un punto di convergenza tra la spinta </w:t>
      </w:r>
      <w:proofErr w:type="spellStart"/>
      <w:r>
        <w:rPr>
          <w:rFonts w:ascii="Times New Roman" w:hAnsi="Times New Roman" w:cs="Times New Roman"/>
          <w:sz w:val="24"/>
          <w:szCs w:val="24"/>
        </w:rPr>
        <w:t>uniformatrice</w:t>
      </w:r>
      <w:proofErr w:type="spellEnd"/>
      <w:r>
        <w:rPr>
          <w:rFonts w:ascii="Times New Roman" w:hAnsi="Times New Roman" w:cs="Times New Roman"/>
          <w:sz w:val="24"/>
          <w:szCs w:val="24"/>
        </w:rPr>
        <w:t xml:space="preserve"> che, in materia di diritti individuali, proviene dalle istituzioni europee, e le esigenze più conservatrici che giungono dai corpi legislativi nazionali. </w:t>
      </w:r>
      <w:r w:rsidR="005C1B39">
        <w:rPr>
          <w:rFonts w:ascii="Times New Roman" w:hAnsi="Times New Roman" w:cs="Times New Roman"/>
          <w:sz w:val="24"/>
          <w:szCs w:val="24"/>
        </w:rPr>
        <w:t xml:space="preserve">Con un esempio, nel caso di un pubblico ministero che ometta il deposito della propria lista testimoniale e chieda, poi, in assenza di richieste istruttorie dalle altre parti, che i testi che avrebbe dovuto indicare </w:t>
      </w:r>
      <w:r w:rsidR="005C1B39">
        <w:rPr>
          <w:rFonts w:ascii="Times New Roman" w:hAnsi="Times New Roman" w:cs="Times New Roman"/>
          <w:i/>
          <w:sz w:val="24"/>
          <w:szCs w:val="24"/>
        </w:rPr>
        <w:t>ex</w:t>
      </w:r>
      <w:r w:rsidR="005C1B39">
        <w:rPr>
          <w:rFonts w:ascii="Times New Roman" w:hAnsi="Times New Roman" w:cs="Times New Roman"/>
          <w:sz w:val="24"/>
          <w:szCs w:val="24"/>
        </w:rPr>
        <w:t xml:space="preserve"> art. 468, comma 1, </w:t>
      </w:r>
      <w:proofErr w:type="spellStart"/>
      <w:r w:rsidR="005C1B39">
        <w:rPr>
          <w:rFonts w:ascii="Times New Roman" w:hAnsi="Times New Roman" w:cs="Times New Roman"/>
          <w:sz w:val="24"/>
          <w:szCs w:val="24"/>
        </w:rPr>
        <w:t>c.p.p.</w:t>
      </w:r>
      <w:proofErr w:type="spellEnd"/>
      <w:r w:rsidR="005C1B39">
        <w:rPr>
          <w:rFonts w:ascii="Times New Roman" w:hAnsi="Times New Roman" w:cs="Times New Roman"/>
          <w:sz w:val="24"/>
          <w:szCs w:val="24"/>
        </w:rPr>
        <w:t xml:space="preserve"> siano acquisiti ai sensi dell'art. 507 </w:t>
      </w:r>
      <w:proofErr w:type="spellStart"/>
      <w:r w:rsidR="005C1B39">
        <w:rPr>
          <w:rFonts w:ascii="Times New Roman" w:hAnsi="Times New Roman" w:cs="Times New Roman"/>
          <w:sz w:val="24"/>
          <w:szCs w:val="24"/>
        </w:rPr>
        <w:t>c.p.p.</w:t>
      </w:r>
      <w:proofErr w:type="spellEnd"/>
      <w:r w:rsidR="005C1B39">
        <w:rPr>
          <w:rFonts w:ascii="Times New Roman" w:hAnsi="Times New Roman" w:cs="Times New Roman"/>
          <w:sz w:val="24"/>
          <w:szCs w:val="24"/>
        </w:rPr>
        <w:t>, non sarebbe peregrino per il giudice sollevare questione davanti alla Corte di giustizia in ordine alla compatibilità tra la nostrana esegesi ventennale della «norma/simbolo dei poteri officiosi del giudice dibattimentale in materia di prova»</w:t>
      </w:r>
      <w:r w:rsidR="005C1B39">
        <w:rPr>
          <w:rStyle w:val="Rimandonotaapidipagina"/>
          <w:rFonts w:ascii="Times New Roman" w:hAnsi="Times New Roman" w:cs="Times New Roman"/>
          <w:sz w:val="24"/>
          <w:szCs w:val="24"/>
        </w:rPr>
        <w:footnoteReference w:id="70"/>
      </w:r>
      <w:r w:rsidR="005C1B39">
        <w:rPr>
          <w:rFonts w:ascii="Times New Roman" w:hAnsi="Times New Roman" w:cs="Times New Roman"/>
          <w:sz w:val="24"/>
          <w:szCs w:val="24"/>
        </w:rPr>
        <w:t xml:space="preserve"> e l'art. 4 della Direttiva 9 marzo 2016, 2016/343/UE sulla presunzione di non colpevolezza.</w:t>
      </w:r>
    </w:p>
    <w:p w:rsidR="005C1B39" w:rsidRDefault="005C1B39" w:rsidP="00DF3FC3">
      <w:pPr>
        <w:spacing w:after="0"/>
        <w:jc w:val="both"/>
        <w:rPr>
          <w:rFonts w:ascii="Times New Roman" w:hAnsi="Times New Roman" w:cs="Times New Roman"/>
          <w:sz w:val="24"/>
          <w:szCs w:val="24"/>
        </w:rPr>
      </w:pPr>
      <w:r>
        <w:rPr>
          <w:rFonts w:ascii="Times New Roman" w:hAnsi="Times New Roman" w:cs="Times New Roman"/>
          <w:sz w:val="24"/>
          <w:szCs w:val="24"/>
        </w:rPr>
        <w:tab/>
        <w:t xml:space="preserve">In quel caso verrebbe, infatti, revocata in dubbio la compatibilità di una norma interna – o, meglio, delle sue </w:t>
      </w:r>
      <w:proofErr w:type="spellStart"/>
      <w:r>
        <w:rPr>
          <w:rFonts w:ascii="Times New Roman" w:hAnsi="Times New Roman" w:cs="Times New Roman"/>
          <w:sz w:val="24"/>
          <w:szCs w:val="24"/>
        </w:rPr>
        <w:t>modalita</w:t>
      </w:r>
      <w:proofErr w:type="spellEnd"/>
      <w:r>
        <w:rPr>
          <w:rFonts w:ascii="Times New Roman" w:hAnsi="Times New Roman" w:cs="Times New Roman"/>
          <w:sz w:val="24"/>
          <w:szCs w:val="24"/>
        </w:rPr>
        <w:t xml:space="preserve"> di applicazione – rispetto ad un atto di diritto europeo: unico soggetto depositario della funzione </w:t>
      </w:r>
      <w:proofErr w:type="spellStart"/>
      <w:r>
        <w:rPr>
          <w:rFonts w:ascii="Times New Roman" w:hAnsi="Times New Roman" w:cs="Times New Roman"/>
          <w:sz w:val="24"/>
          <w:szCs w:val="24"/>
        </w:rPr>
        <w:t>nomofilattica</w:t>
      </w:r>
      <w:proofErr w:type="spellEnd"/>
      <w:r>
        <w:rPr>
          <w:rFonts w:ascii="Times New Roman" w:hAnsi="Times New Roman" w:cs="Times New Roman"/>
          <w:sz w:val="24"/>
          <w:szCs w:val="24"/>
        </w:rPr>
        <w:t xml:space="preserve"> a livello continentale è la Corte di giustizia dell'Unione: e, in ciò, il cerchio si chiude con il richiamo all'art. 267 TFUE.</w:t>
      </w:r>
    </w:p>
    <w:p w:rsidR="005C1B39" w:rsidRDefault="005C1B39" w:rsidP="00DF3FC3">
      <w:pPr>
        <w:spacing w:after="0"/>
        <w:jc w:val="both"/>
        <w:rPr>
          <w:rFonts w:ascii="Times New Roman" w:hAnsi="Times New Roman" w:cs="Times New Roman"/>
          <w:sz w:val="24"/>
          <w:szCs w:val="24"/>
        </w:rPr>
      </w:pPr>
      <w:r>
        <w:rPr>
          <w:rFonts w:ascii="Times New Roman" w:hAnsi="Times New Roman" w:cs="Times New Roman"/>
          <w:sz w:val="24"/>
          <w:szCs w:val="24"/>
        </w:rPr>
        <w:tab/>
        <w:t>Più complicato è il discorso allorquando entrino in rapporto due o più Stati. S'immagini che in uno di essi – che, per semplicità espositiva, definiremo "A" – si celebri il processo a carico di un padre, accusato di plurime condotte maltrattanti a danno del figlio minorenne. Nel giudizio, occorre acquisire la testimonianza del giovane che, però, vive ormai con la madre in altro Stato, che chiameremo "B".</w:t>
      </w:r>
    </w:p>
    <w:p w:rsidR="005C1B39" w:rsidRDefault="005C1B39" w:rsidP="00DF3FC3">
      <w:pPr>
        <w:spacing w:after="0"/>
        <w:jc w:val="both"/>
        <w:rPr>
          <w:rFonts w:ascii="Times New Roman" w:hAnsi="Times New Roman" w:cs="Times New Roman"/>
          <w:sz w:val="24"/>
          <w:szCs w:val="24"/>
        </w:rPr>
      </w:pPr>
      <w:r>
        <w:rPr>
          <w:rFonts w:ascii="Times New Roman" w:hAnsi="Times New Roman" w:cs="Times New Roman"/>
          <w:sz w:val="24"/>
          <w:szCs w:val="24"/>
        </w:rPr>
        <w:tab/>
        <w:t>Sia A che B si trovano nel territorio dell'Unione europea</w:t>
      </w:r>
      <w:r w:rsidR="00810247">
        <w:rPr>
          <w:rFonts w:ascii="Times New Roman" w:hAnsi="Times New Roman" w:cs="Times New Roman"/>
          <w:sz w:val="24"/>
          <w:szCs w:val="24"/>
        </w:rPr>
        <w:t xml:space="preserve">, di talché in entrambi si applica la Direttiva 2012/29/UE che, all'art. 24, paragrafo 1, lett. </w:t>
      </w:r>
      <w:r w:rsidR="00810247">
        <w:rPr>
          <w:rFonts w:ascii="Times New Roman" w:hAnsi="Times New Roman" w:cs="Times New Roman"/>
          <w:i/>
          <w:sz w:val="24"/>
          <w:szCs w:val="24"/>
        </w:rPr>
        <w:t>b)</w:t>
      </w:r>
      <w:r w:rsidR="00810247">
        <w:rPr>
          <w:rFonts w:ascii="Times New Roman" w:hAnsi="Times New Roman" w:cs="Times New Roman"/>
          <w:sz w:val="24"/>
          <w:szCs w:val="24"/>
        </w:rPr>
        <w:t xml:space="preserve">, prevede la nomina di un rappresentante processuale del </w:t>
      </w:r>
      <w:proofErr w:type="spellStart"/>
      <w:r w:rsidR="00810247">
        <w:rPr>
          <w:rFonts w:ascii="Times New Roman" w:hAnsi="Times New Roman" w:cs="Times New Roman"/>
          <w:sz w:val="24"/>
          <w:szCs w:val="24"/>
        </w:rPr>
        <w:t>minore</w:t>
      </w:r>
      <w:r w:rsidR="00244308">
        <w:rPr>
          <w:rFonts w:ascii="Times New Roman" w:hAnsi="Times New Roman" w:cs="Times New Roman"/>
          <w:sz w:val="24"/>
          <w:szCs w:val="24"/>
        </w:rPr>
        <w:t>-vittima</w:t>
      </w:r>
      <w:proofErr w:type="spellEnd"/>
      <w:r w:rsidR="00810247">
        <w:rPr>
          <w:rFonts w:ascii="Times New Roman" w:hAnsi="Times New Roman" w:cs="Times New Roman"/>
          <w:sz w:val="24"/>
          <w:szCs w:val="24"/>
        </w:rPr>
        <w:t xml:space="preserve"> in caso di assenza dei genitori o di conflitto con essi. Lo Stato B impone </w:t>
      </w:r>
      <w:r w:rsidR="00810247">
        <w:rPr>
          <w:rFonts w:ascii="Times New Roman" w:hAnsi="Times New Roman" w:cs="Times New Roman"/>
          <w:i/>
          <w:sz w:val="24"/>
          <w:szCs w:val="24"/>
        </w:rPr>
        <w:t xml:space="preserve">ex </w:t>
      </w:r>
      <w:proofErr w:type="spellStart"/>
      <w:r w:rsidR="00810247">
        <w:rPr>
          <w:rFonts w:ascii="Times New Roman" w:hAnsi="Times New Roman" w:cs="Times New Roman"/>
          <w:i/>
          <w:sz w:val="24"/>
          <w:szCs w:val="24"/>
        </w:rPr>
        <w:t>lege</w:t>
      </w:r>
      <w:proofErr w:type="spellEnd"/>
      <w:r w:rsidR="00810247">
        <w:rPr>
          <w:rFonts w:ascii="Times New Roman" w:hAnsi="Times New Roman" w:cs="Times New Roman"/>
          <w:sz w:val="24"/>
          <w:szCs w:val="24"/>
        </w:rPr>
        <w:t xml:space="preserve"> che l'</w:t>
      </w:r>
      <w:proofErr w:type="spellStart"/>
      <w:r w:rsidR="00810247">
        <w:rPr>
          <w:rFonts w:ascii="Times New Roman" w:hAnsi="Times New Roman" w:cs="Times New Roman"/>
          <w:sz w:val="24"/>
          <w:szCs w:val="24"/>
        </w:rPr>
        <w:t>infradiciottenne</w:t>
      </w:r>
      <w:proofErr w:type="spellEnd"/>
      <w:r w:rsidR="00810247">
        <w:rPr>
          <w:rFonts w:ascii="Times New Roman" w:hAnsi="Times New Roman" w:cs="Times New Roman"/>
          <w:sz w:val="24"/>
          <w:szCs w:val="24"/>
        </w:rPr>
        <w:t xml:space="preserve"> sia rappresentato da un funzionario dell'ufficio statale in tutela della gioventù, che assisterà il giovane anche in corso di testimonianza. Tale figura è estranea ad A, che prevede la rappresentanza del minore non in ogni caso, ma solo in quelli specificamente descritti dall'art. 24 e che affianca al giovane, durante la testimonianza, non un funzionario pubblico, ma un esperto psicologo che lo aiuti ad interagire con gli altri soggetti processuali. </w:t>
      </w:r>
    </w:p>
    <w:p w:rsidR="00810247" w:rsidRDefault="00810247" w:rsidP="00DF3FC3">
      <w:pPr>
        <w:spacing w:after="0"/>
        <w:jc w:val="both"/>
        <w:rPr>
          <w:rFonts w:ascii="Times New Roman" w:hAnsi="Times New Roman" w:cs="Times New Roman"/>
          <w:sz w:val="24"/>
          <w:szCs w:val="24"/>
        </w:rPr>
      </w:pPr>
      <w:r>
        <w:rPr>
          <w:rFonts w:ascii="Times New Roman" w:hAnsi="Times New Roman" w:cs="Times New Roman"/>
          <w:sz w:val="24"/>
          <w:szCs w:val="24"/>
        </w:rPr>
        <w:tab/>
        <w:t xml:space="preserve">Appare evidente sia il modo, diverso, in cui A e B applicano l'art. 24, sia la parziale difformità della legge di B rispetto al dettato </w:t>
      </w:r>
      <w:proofErr w:type="spellStart"/>
      <w:r>
        <w:rPr>
          <w:rFonts w:ascii="Times New Roman" w:hAnsi="Times New Roman" w:cs="Times New Roman"/>
          <w:sz w:val="24"/>
          <w:szCs w:val="24"/>
        </w:rPr>
        <w:t>eurounitario</w:t>
      </w:r>
      <w:proofErr w:type="spellEnd"/>
      <w:r>
        <w:rPr>
          <w:rFonts w:ascii="Times New Roman" w:hAnsi="Times New Roman" w:cs="Times New Roman"/>
          <w:sz w:val="24"/>
          <w:szCs w:val="24"/>
        </w:rPr>
        <w:t xml:space="preserve">. V'è, allora, da chiarire se il giudice di A, dovendo richiedere a B l'assunzione della testimonianza del minore, possa sollevare questione pregiudiziale davanti alla Corte di giustizia dell'Unione circa la corretta lettura dell'art. 24, paragrafo 1, lett. </w:t>
      </w:r>
      <w:r>
        <w:rPr>
          <w:rFonts w:ascii="Times New Roman" w:hAnsi="Times New Roman" w:cs="Times New Roman"/>
          <w:i/>
          <w:sz w:val="24"/>
          <w:szCs w:val="24"/>
        </w:rPr>
        <w:t>b)</w:t>
      </w:r>
      <w:r>
        <w:rPr>
          <w:rFonts w:ascii="Times New Roman" w:hAnsi="Times New Roman" w:cs="Times New Roman"/>
          <w:sz w:val="24"/>
          <w:szCs w:val="24"/>
        </w:rPr>
        <w:t xml:space="preserve"> della Direttiva 2012/29/UE da parte di B.</w:t>
      </w:r>
    </w:p>
    <w:p w:rsidR="00810247" w:rsidRDefault="00810247" w:rsidP="00DF3FC3">
      <w:pPr>
        <w:spacing w:after="0"/>
        <w:jc w:val="both"/>
        <w:rPr>
          <w:rFonts w:ascii="Times New Roman" w:hAnsi="Times New Roman" w:cs="Times New Roman"/>
          <w:sz w:val="24"/>
          <w:szCs w:val="24"/>
        </w:rPr>
      </w:pPr>
      <w:r>
        <w:rPr>
          <w:rFonts w:ascii="Times New Roman" w:hAnsi="Times New Roman" w:cs="Times New Roman"/>
          <w:sz w:val="24"/>
          <w:szCs w:val="24"/>
        </w:rPr>
        <w:tab/>
        <w:t>L'eventuale questione dovrebbe articolarsi in più punti</w:t>
      </w:r>
      <w:r w:rsidR="00244308">
        <w:rPr>
          <w:rFonts w:ascii="Times New Roman" w:hAnsi="Times New Roman" w:cs="Times New Roman"/>
          <w:sz w:val="24"/>
          <w:szCs w:val="24"/>
        </w:rPr>
        <w:t xml:space="preserve">: </w:t>
      </w:r>
      <w:r w:rsidR="00244308">
        <w:rPr>
          <w:rFonts w:ascii="Times New Roman" w:hAnsi="Times New Roman" w:cs="Times New Roman"/>
          <w:i/>
          <w:sz w:val="24"/>
          <w:szCs w:val="24"/>
        </w:rPr>
        <w:t>in primis</w:t>
      </w:r>
      <w:r w:rsidR="00244308">
        <w:rPr>
          <w:rFonts w:ascii="Times New Roman" w:hAnsi="Times New Roman" w:cs="Times New Roman"/>
          <w:sz w:val="24"/>
          <w:szCs w:val="24"/>
        </w:rPr>
        <w:t>, si tratterebbe di rinviare alla Corte un'istanza sull'esegesi dell'art. 267 TFUE e, quindi, sulla possibilità che il sintagma «organo giurisdizionale di uno degli Stati membri»</w:t>
      </w:r>
      <w:r>
        <w:rPr>
          <w:rFonts w:ascii="Times New Roman" w:hAnsi="Times New Roman" w:cs="Times New Roman"/>
          <w:sz w:val="24"/>
          <w:szCs w:val="24"/>
        </w:rPr>
        <w:t xml:space="preserve"> </w:t>
      </w:r>
      <w:r w:rsidR="00244308">
        <w:rPr>
          <w:rFonts w:ascii="Times New Roman" w:hAnsi="Times New Roman" w:cs="Times New Roman"/>
          <w:sz w:val="24"/>
          <w:szCs w:val="24"/>
        </w:rPr>
        <w:t xml:space="preserve">possa </w:t>
      </w:r>
      <w:r w:rsidR="00244308">
        <w:rPr>
          <w:rFonts w:ascii="Times New Roman" w:hAnsi="Times New Roman" w:cs="Times New Roman"/>
          <w:sz w:val="24"/>
          <w:szCs w:val="24"/>
        </w:rPr>
        <w:lastRenderedPageBreak/>
        <w:t>riferirsi al giudice di uno Stato diverso da quello in cui occorre la prassi criticata o è scritta la norma che si intende in contrasto con l'</w:t>
      </w:r>
      <w:proofErr w:type="spellStart"/>
      <w:r w:rsidR="00244308">
        <w:rPr>
          <w:rFonts w:ascii="Times New Roman" w:hAnsi="Times New Roman" w:cs="Times New Roman"/>
          <w:i/>
          <w:sz w:val="24"/>
          <w:szCs w:val="24"/>
        </w:rPr>
        <w:t>acquis</w:t>
      </w:r>
      <w:proofErr w:type="spellEnd"/>
      <w:r w:rsidR="00244308">
        <w:rPr>
          <w:rFonts w:ascii="Times New Roman" w:hAnsi="Times New Roman" w:cs="Times New Roman"/>
          <w:sz w:val="24"/>
          <w:szCs w:val="24"/>
        </w:rPr>
        <w:t xml:space="preserve"> europeo. </w:t>
      </w:r>
    </w:p>
    <w:p w:rsidR="00244308" w:rsidRDefault="00244308" w:rsidP="00DF3FC3">
      <w:pPr>
        <w:spacing w:after="0"/>
        <w:jc w:val="both"/>
        <w:rPr>
          <w:rFonts w:ascii="Times New Roman" w:hAnsi="Times New Roman" w:cs="Times New Roman"/>
          <w:sz w:val="24"/>
          <w:szCs w:val="24"/>
        </w:rPr>
      </w:pPr>
      <w:r>
        <w:rPr>
          <w:rFonts w:ascii="Times New Roman" w:hAnsi="Times New Roman" w:cs="Times New Roman"/>
          <w:sz w:val="24"/>
          <w:szCs w:val="24"/>
        </w:rPr>
        <w:tab/>
        <w:t xml:space="preserve">L'auspicabile risposta affermativa poggerebbe su due argomenti: </w:t>
      </w:r>
      <w:r>
        <w:rPr>
          <w:rFonts w:ascii="Times New Roman" w:hAnsi="Times New Roman" w:cs="Times New Roman"/>
          <w:i/>
          <w:sz w:val="24"/>
          <w:szCs w:val="24"/>
        </w:rPr>
        <w:t>a)</w:t>
      </w:r>
      <w:r>
        <w:rPr>
          <w:rFonts w:ascii="Times New Roman" w:hAnsi="Times New Roman" w:cs="Times New Roman"/>
          <w:sz w:val="24"/>
          <w:szCs w:val="24"/>
        </w:rPr>
        <w:t xml:space="preserve"> quello </w:t>
      </w:r>
      <w:r w:rsidRPr="00244308">
        <w:rPr>
          <w:rFonts w:ascii="Times New Roman" w:hAnsi="Times New Roman" w:cs="Times New Roman"/>
          <w:i/>
          <w:sz w:val="24"/>
          <w:szCs w:val="24"/>
        </w:rPr>
        <w:t>letterale</w:t>
      </w:r>
      <w:r>
        <w:rPr>
          <w:rFonts w:ascii="Times New Roman" w:hAnsi="Times New Roman" w:cs="Times New Roman"/>
          <w:sz w:val="24"/>
          <w:szCs w:val="24"/>
        </w:rPr>
        <w:t xml:space="preserve">, per cui nulla nel testo dell'art. 267 TFUE si presta ad impedire una lettura come quella qui proposta; </w:t>
      </w:r>
      <w:r>
        <w:rPr>
          <w:rFonts w:ascii="Times New Roman" w:hAnsi="Times New Roman" w:cs="Times New Roman"/>
          <w:i/>
          <w:sz w:val="24"/>
          <w:szCs w:val="24"/>
        </w:rPr>
        <w:t>b)</w:t>
      </w:r>
      <w:r>
        <w:rPr>
          <w:rFonts w:ascii="Times New Roman" w:hAnsi="Times New Roman" w:cs="Times New Roman"/>
          <w:sz w:val="24"/>
          <w:szCs w:val="24"/>
        </w:rPr>
        <w:t xml:space="preserve"> quello </w:t>
      </w:r>
      <w:r w:rsidRPr="00244308">
        <w:rPr>
          <w:rFonts w:ascii="Times New Roman" w:hAnsi="Times New Roman" w:cs="Times New Roman"/>
          <w:i/>
          <w:sz w:val="24"/>
          <w:szCs w:val="24"/>
        </w:rPr>
        <w:t>teleologico</w:t>
      </w:r>
      <w:r>
        <w:rPr>
          <w:rFonts w:ascii="Times New Roman" w:hAnsi="Times New Roman" w:cs="Times New Roman"/>
          <w:sz w:val="24"/>
          <w:szCs w:val="24"/>
        </w:rPr>
        <w:t xml:space="preserve">, che guarda al fine del rimedio pregiudiziale servente, appunto, all'uniforme applicazione della regola europea. </w:t>
      </w:r>
    </w:p>
    <w:p w:rsidR="00810247" w:rsidRDefault="00244308" w:rsidP="00DF3FC3">
      <w:pPr>
        <w:spacing w:after="0"/>
        <w:jc w:val="both"/>
        <w:rPr>
          <w:rFonts w:ascii="Times New Roman" w:hAnsi="Times New Roman" w:cs="Times New Roman"/>
          <w:sz w:val="24"/>
          <w:szCs w:val="24"/>
        </w:rPr>
      </w:pPr>
      <w:r>
        <w:rPr>
          <w:rFonts w:ascii="Times New Roman" w:hAnsi="Times New Roman" w:cs="Times New Roman"/>
          <w:sz w:val="24"/>
          <w:szCs w:val="24"/>
        </w:rPr>
        <w:tab/>
        <w:t xml:space="preserve">Ritenuta ammissibile la questione, potrebbe finalmente </w:t>
      </w:r>
      <w:proofErr w:type="spellStart"/>
      <w:r>
        <w:rPr>
          <w:rFonts w:ascii="Times New Roman" w:hAnsi="Times New Roman" w:cs="Times New Roman"/>
          <w:sz w:val="24"/>
          <w:szCs w:val="24"/>
        </w:rPr>
        <w:t>procedersi</w:t>
      </w:r>
      <w:proofErr w:type="spellEnd"/>
      <w:r>
        <w:rPr>
          <w:rFonts w:ascii="Times New Roman" w:hAnsi="Times New Roman" w:cs="Times New Roman"/>
          <w:sz w:val="24"/>
          <w:szCs w:val="24"/>
        </w:rPr>
        <w:t xml:space="preserve"> alla domanda relativa, nell'esempio fatto, alla fisionomia dei rappresentanti della vittima minorenne, previsti dall'art. 24, paragrafo 1, lett. </w:t>
      </w:r>
      <w:r>
        <w:rPr>
          <w:rFonts w:ascii="Times New Roman" w:hAnsi="Times New Roman" w:cs="Times New Roman"/>
          <w:i/>
          <w:sz w:val="24"/>
          <w:szCs w:val="24"/>
        </w:rPr>
        <w:t>b)</w:t>
      </w:r>
      <w:r>
        <w:rPr>
          <w:rFonts w:ascii="Times New Roman" w:hAnsi="Times New Roman" w:cs="Times New Roman"/>
          <w:sz w:val="24"/>
          <w:szCs w:val="24"/>
        </w:rPr>
        <w:t xml:space="preserve"> della Direttiva 2012/29/UE e concepiti da A e B in modalità tra loro assai differenti. </w:t>
      </w:r>
    </w:p>
    <w:p w:rsidR="00244308" w:rsidRDefault="00244308" w:rsidP="00DF3FC3">
      <w:pPr>
        <w:spacing w:after="0"/>
        <w:jc w:val="both"/>
        <w:rPr>
          <w:rFonts w:ascii="Times New Roman" w:hAnsi="Times New Roman" w:cs="Times New Roman"/>
          <w:sz w:val="24"/>
          <w:szCs w:val="24"/>
        </w:rPr>
      </w:pPr>
      <w:r>
        <w:rPr>
          <w:rFonts w:ascii="Times New Roman" w:hAnsi="Times New Roman" w:cs="Times New Roman"/>
          <w:sz w:val="24"/>
          <w:szCs w:val="24"/>
        </w:rPr>
        <w:tab/>
      </w:r>
      <w:r w:rsidR="000F5775">
        <w:rPr>
          <w:rFonts w:ascii="Times New Roman" w:hAnsi="Times New Roman" w:cs="Times New Roman"/>
          <w:sz w:val="24"/>
          <w:szCs w:val="24"/>
        </w:rPr>
        <w:t xml:space="preserve">Il rinvio pregiudiziale sarebbe ora concepito nei termini di uno strumento idoneo ad assottigliare le differenti concezioni del processo, nel nome di quell'uniformità di valori cui l'organismo </w:t>
      </w:r>
      <w:proofErr w:type="spellStart"/>
      <w:r w:rsidR="000F5775">
        <w:rPr>
          <w:rFonts w:ascii="Times New Roman" w:hAnsi="Times New Roman" w:cs="Times New Roman"/>
          <w:sz w:val="24"/>
          <w:szCs w:val="24"/>
        </w:rPr>
        <w:t>eurounitario</w:t>
      </w:r>
      <w:proofErr w:type="spellEnd"/>
      <w:r w:rsidR="000F5775">
        <w:rPr>
          <w:rFonts w:ascii="Times New Roman" w:hAnsi="Times New Roman" w:cs="Times New Roman"/>
          <w:sz w:val="24"/>
          <w:szCs w:val="24"/>
        </w:rPr>
        <w:t xml:space="preserve"> pretende di ispirarsi. E se il discorso vale in un caso, come quello testé prospettato, di collaborazione tra autorità penali, nulla vieta di applicarlo ad un altro, in cui un giudice penale ed uno civile, di Stati diversi, si pongono in rapporto, affrontando una comune questione. </w:t>
      </w:r>
    </w:p>
    <w:p w:rsidR="000F5775" w:rsidRDefault="000F5775" w:rsidP="000F5775">
      <w:pPr>
        <w:pStyle w:val="Paragrafoelenco"/>
        <w:tabs>
          <w:tab w:val="left" w:pos="0"/>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Sembra, in definitiva, che solo una riflessione sullo strumento pregiudiziale, orientata a chiarirne l'esatta </w:t>
      </w:r>
      <w:proofErr w:type="spellStart"/>
      <w:r>
        <w:rPr>
          <w:rFonts w:ascii="Times New Roman" w:hAnsi="Times New Roman" w:cs="Times New Roman"/>
          <w:sz w:val="24"/>
          <w:szCs w:val="24"/>
        </w:rPr>
        <w:t>ricorribilità</w:t>
      </w:r>
      <w:proofErr w:type="spellEnd"/>
      <w:r>
        <w:rPr>
          <w:rFonts w:ascii="Times New Roman" w:hAnsi="Times New Roman" w:cs="Times New Roman"/>
          <w:sz w:val="24"/>
          <w:szCs w:val="24"/>
        </w:rPr>
        <w:t xml:space="preserve">, anche da parte di giudici stranieri rispetto alla norma interna censurata, potrà agevolare un passo in avanti sul piano della cooperazione europea, segnatamente per ciò che concerne il tema della circolazione probatoria. Fa da sfondo l'assenza di un catalogo, condiviso a livello unitario, di regole di esclusione e di valutazione della prova, di talché si rende imprescindibile partire dai principi ‒ quelli, appunto, che fondano l'idea di ordine pubblico europeo, inteso come base di valori su cui si esplicano gli obiettivi più tipici dell'esperienza </w:t>
      </w:r>
      <w:proofErr w:type="spellStart"/>
      <w:r>
        <w:rPr>
          <w:rFonts w:ascii="Times New Roman" w:hAnsi="Times New Roman" w:cs="Times New Roman"/>
          <w:sz w:val="24"/>
          <w:szCs w:val="24"/>
        </w:rPr>
        <w:t>eurounitaria</w:t>
      </w:r>
      <w:proofErr w:type="spellEnd"/>
      <w:r>
        <w:rPr>
          <w:rFonts w:ascii="Times New Roman" w:hAnsi="Times New Roman" w:cs="Times New Roman"/>
          <w:sz w:val="24"/>
          <w:szCs w:val="24"/>
        </w:rPr>
        <w:t xml:space="preserve"> ‒ e farli leggere alla giurisprudenza, onde riempire quelle clausole altrimenti vuote di cui si diceva sopra e definire una lettura comune dei loro contenuti. </w:t>
      </w:r>
    </w:p>
    <w:p w:rsidR="000F5775" w:rsidRDefault="000B5BA0" w:rsidP="000F5775">
      <w:pPr>
        <w:pStyle w:val="Paragrafoelenco"/>
        <w:tabs>
          <w:tab w:val="left" w:pos="0"/>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Uscendo, poi, dai confini dell'Unione, in assenza di una Corte alla quale fare riferimento per ottenere un'interpretazione delle norme nazionali ossequiosa dei principi fondamentali dell'esperienza europea, può rammentarsi comunque l'esistenza di un'idea di </w:t>
      </w:r>
      <w:r>
        <w:rPr>
          <w:rFonts w:ascii="Times New Roman" w:hAnsi="Times New Roman" w:cs="Times New Roman"/>
          <w:i/>
          <w:sz w:val="24"/>
          <w:szCs w:val="24"/>
        </w:rPr>
        <w:t>ordine pubblico internazionale</w:t>
      </w:r>
      <w:r>
        <w:rPr>
          <w:rFonts w:ascii="Times New Roman" w:hAnsi="Times New Roman" w:cs="Times New Roman"/>
          <w:sz w:val="24"/>
          <w:szCs w:val="24"/>
        </w:rPr>
        <w:t>, identificabile come «</w:t>
      </w:r>
      <w:r w:rsidRPr="000B5BA0">
        <w:rPr>
          <w:rFonts w:ascii="Times New Roman" w:hAnsi="Times New Roman" w:cs="Times New Roman"/>
          <w:sz w:val="24"/>
          <w:szCs w:val="24"/>
        </w:rPr>
        <w:t>un complesso di valori e principi fondamentali per una collettività</w:t>
      </w:r>
      <w:r>
        <w:rPr>
          <w:rFonts w:ascii="Times New Roman" w:hAnsi="Times New Roman" w:cs="Times New Roman"/>
          <w:sz w:val="24"/>
          <w:szCs w:val="24"/>
        </w:rPr>
        <w:t>», talmente forti da essere in grado di limitare «</w:t>
      </w:r>
      <w:r w:rsidRPr="000B5BA0">
        <w:rPr>
          <w:rFonts w:ascii="Times New Roman" w:hAnsi="Times New Roman" w:cs="Times New Roman"/>
          <w:sz w:val="24"/>
          <w:szCs w:val="24"/>
        </w:rPr>
        <w:t>la libertà dei singoli soggett</w:t>
      </w:r>
      <w:r>
        <w:rPr>
          <w:rFonts w:ascii="Times New Roman" w:hAnsi="Times New Roman" w:cs="Times New Roman"/>
          <w:sz w:val="24"/>
          <w:szCs w:val="24"/>
        </w:rPr>
        <w:t>i ad essa appartenenti»</w:t>
      </w:r>
      <w:r>
        <w:rPr>
          <w:rStyle w:val="Rimandonotaapidipagina"/>
          <w:rFonts w:ascii="Times New Roman" w:hAnsi="Times New Roman" w:cs="Times New Roman"/>
          <w:sz w:val="24"/>
          <w:szCs w:val="24"/>
        </w:rPr>
        <w:footnoteReference w:id="71"/>
      </w:r>
      <w:r>
        <w:rPr>
          <w:rFonts w:ascii="Times New Roman" w:hAnsi="Times New Roman" w:cs="Times New Roman"/>
          <w:sz w:val="24"/>
          <w:szCs w:val="24"/>
        </w:rPr>
        <w:t>. E, ancora, se è vero che «i</w:t>
      </w:r>
      <w:r w:rsidRPr="000B5BA0">
        <w:rPr>
          <w:rFonts w:ascii="Times New Roman" w:hAnsi="Times New Roman" w:cs="Times New Roman"/>
          <w:sz w:val="24"/>
          <w:szCs w:val="24"/>
        </w:rPr>
        <w:t xml:space="preserve"> vari sistemi giuridici (nazionali, sub-regiona</w:t>
      </w:r>
      <w:r>
        <w:rPr>
          <w:rFonts w:ascii="Times New Roman" w:hAnsi="Times New Roman" w:cs="Times New Roman"/>
          <w:sz w:val="24"/>
          <w:szCs w:val="24"/>
        </w:rPr>
        <w:t xml:space="preserve">li, regionali, internazionali), </w:t>
      </w:r>
      <w:r w:rsidRPr="000B5BA0">
        <w:rPr>
          <w:rFonts w:ascii="Times New Roman" w:hAnsi="Times New Roman" w:cs="Times New Roman"/>
          <w:sz w:val="24"/>
          <w:szCs w:val="24"/>
        </w:rPr>
        <w:t>ordinati gerarchicamente e subordinati tra di loro, sono dominati dal sistema della Carta ONU, tutti a loro volta soggetti ai principi supremi dello </w:t>
      </w:r>
      <w:proofErr w:type="spellStart"/>
      <w:r w:rsidRPr="000B5BA0">
        <w:rPr>
          <w:rFonts w:ascii="Times New Roman" w:hAnsi="Times New Roman" w:cs="Times New Roman"/>
          <w:i/>
          <w:iCs/>
          <w:sz w:val="24"/>
          <w:szCs w:val="24"/>
        </w:rPr>
        <w:t>jus</w:t>
      </w:r>
      <w:proofErr w:type="spellEnd"/>
      <w:r w:rsidRPr="000B5BA0">
        <w:rPr>
          <w:rFonts w:ascii="Times New Roman" w:hAnsi="Times New Roman" w:cs="Times New Roman"/>
          <w:i/>
          <w:iCs/>
          <w:sz w:val="24"/>
          <w:szCs w:val="24"/>
        </w:rPr>
        <w:t xml:space="preserve"> </w:t>
      </w:r>
      <w:proofErr w:type="spellStart"/>
      <w:r w:rsidRPr="000B5BA0">
        <w:rPr>
          <w:rFonts w:ascii="Times New Roman" w:hAnsi="Times New Roman" w:cs="Times New Roman"/>
          <w:i/>
          <w:iCs/>
          <w:sz w:val="24"/>
          <w:szCs w:val="24"/>
        </w:rPr>
        <w:t>cogens</w:t>
      </w:r>
      <w:proofErr w:type="spellEnd"/>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72"/>
      </w:r>
      <w:r>
        <w:rPr>
          <w:rFonts w:ascii="Times New Roman" w:hAnsi="Times New Roman" w:cs="Times New Roman"/>
          <w:sz w:val="24"/>
          <w:szCs w:val="24"/>
        </w:rPr>
        <w:t xml:space="preserve">, lo Stato che temesse una violazione di quei principi per effetto dell'altrui atto processuale sarebbe legittimato a rifiutare la cooperazione, così evitando sia di parteciparvi attivamente ‒ aiutando, quindi, lo Stato richiedente attraverso il compimento di un atto da inserire in un contesto processuale straniero, complessivamente deviante rispetto all'ordine pubblico </w:t>
      </w:r>
      <w:r>
        <w:rPr>
          <w:rFonts w:ascii="Times New Roman" w:hAnsi="Times New Roman" w:cs="Times New Roman"/>
          <w:sz w:val="24"/>
          <w:szCs w:val="24"/>
        </w:rPr>
        <w:lastRenderedPageBreak/>
        <w:t xml:space="preserve">nell'accezione sopra espressa ‒, sia di accogliere in sé atti esteri difformi ai principi supremi stabiliti dalla comunità internazionale, da inserire nel proprio processo. </w:t>
      </w:r>
    </w:p>
    <w:p w:rsidR="00D178A4" w:rsidRDefault="000B5BA0" w:rsidP="000F5775">
      <w:pPr>
        <w:pStyle w:val="Paragrafoelenco"/>
        <w:tabs>
          <w:tab w:val="left" w:pos="0"/>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Con altre parole, nessuna violazione del diritto dei trattati o, più semplicemente, di accordi già esecutivi occorrerebbe in caso di rifiutata collaborazione investigativa o giudiziaria con uno Stato irrispettoso dei principi dominanti i rapporti internazionali</w:t>
      </w:r>
      <w:r w:rsidR="00D178A4">
        <w:rPr>
          <w:rFonts w:ascii="Times New Roman" w:hAnsi="Times New Roman" w:cs="Times New Roman"/>
          <w:sz w:val="24"/>
          <w:szCs w:val="24"/>
        </w:rPr>
        <w:t>, tra essi rientrando, ovviamente, il complesso dei diritti fondamentali riconoscibili all'individuo, tra cui v'è quello di difendersi in giudizio</w:t>
      </w:r>
      <w:r w:rsidR="00D178A4">
        <w:rPr>
          <w:rStyle w:val="Rimandonotaapidipagina"/>
          <w:rFonts w:ascii="Times New Roman" w:hAnsi="Times New Roman" w:cs="Times New Roman"/>
          <w:sz w:val="24"/>
          <w:szCs w:val="24"/>
        </w:rPr>
        <w:footnoteReference w:id="73"/>
      </w:r>
      <w:r w:rsidR="00D178A4">
        <w:rPr>
          <w:rFonts w:ascii="Times New Roman" w:hAnsi="Times New Roman" w:cs="Times New Roman"/>
          <w:sz w:val="24"/>
          <w:szCs w:val="24"/>
        </w:rPr>
        <w:t xml:space="preserve">. </w:t>
      </w:r>
    </w:p>
    <w:p w:rsidR="00D178A4" w:rsidRDefault="00D178A4" w:rsidP="00D178A4">
      <w:pPr>
        <w:pStyle w:val="Paragrafoelenco"/>
        <w:tabs>
          <w:tab w:val="left" w:pos="0"/>
        </w:tabs>
        <w:spacing w:after="0"/>
        <w:ind w:left="0"/>
        <w:jc w:val="both"/>
        <w:rPr>
          <w:rFonts w:ascii="Times New Roman" w:hAnsi="Times New Roman" w:cs="Times New Roman"/>
          <w:sz w:val="24"/>
          <w:szCs w:val="24"/>
        </w:rPr>
      </w:pPr>
    </w:p>
    <w:p w:rsidR="00F27913" w:rsidRDefault="00D178A4" w:rsidP="00D178A4">
      <w:pPr>
        <w:pStyle w:val="Paragrafoelenco"/>
        <w:tabs>
          <w:tab w:val="left" w:pos="0"/>
        </w:tabs>
        <w:spacing w:after="0"/>
        <w:ind w:left="0"/>
        <w:jc w:val="both"/>
        <w:rPr>
          <w:rFonts w:ascii="Times New Roman" w:hAnsi="Times New Roman" w:cs="Times New Roman"/>
          <w:sz w:val="24"/>
          <w:szCs w:val="24"/>
        </w:rPr>
      </w:pPr>
      <w:r>
        <w:rPr>
          <w:rFonts w:ascii="Times New Roman" w:hAnsi="Times New Roman" w:cs="Times New Roman"/>
          <w:b/>
          <w:sz w:val="24"/>
          <w:szCs w:val="24"/>
        </w:rPr>
        <w:t>6</w:t>
      </w:r>
      <w:r w:rsidRPr="00F27913">
        <w:rPr>
          <w:rFonts w:ascii="Times New Roman" w:hAnsi="Times New Roman" w:cs="Times New Roman"/>
          <w:b/>
          <w:smallCaps/>
          <w:sz w:val="24"/>
          <w:szCs w:val="24"/>
        </w:rPr>
        <w:t xml:space="preserve">. </w:t>
      </w:r>
      <w:r w:rsidR="00F27913" w:rsidRPr="00F27913">
        <w:rPr>
          <w:rFonts w:ascii="Times New Roman" w:hAnsi="Times New Roman" w:cs="Times New Roman"/>
          <w:b/>
          <w:smallCaps/>
          <w:sz w:val="24"/>
          <w:szCs w:val="24"/>
        </w:rPr>
        <w:t>Conclusioni</w:t>
      </w:r>
      <w:r w:rsidR="00F27913">
        <w:rPr>
          <w:rFonts w:ascii="Times New Roman" w:hAnsi="Times New Roman" w:cs="Times New Roman"/>
          <w:b/>
          <w:smallCaps/>
          <w:sz w:val="24"/>
          <w:szCs w:val="24"/>
        </w:rPr>
        <w:t>.</w:t>
      </w:r>
      <w:r w:rsidR="00F27913" w:rsidRPr="00F27913">
        <w:rPr>
          <w:rFonts w:ascii="Times New Roman" w:hAnsi="Times New Roman" w:cs="Times New Roman"/>
          <w:b/>
          <w:smallCaps/>
          <w:sz w:val="24"/>
          <w:szCs w:val="24"/>
        </w:rPr>
        <w:t xml:space="preserve"> </w:t>
      </w:r>
      <w:r w:rsidR="00F27913">
        <w:rPr>
          <w:rFonts w:ascii="Times New Roman" w:hAnsi="Times New Roman" w:cs="Times New Roman"/>
          <w:b/>
          <w:smallCaps/>
          <w:sz w:val="24"/>
          <w:szCs w:val="24"/>
        </w:rPr>
        <w:t>L</w:t>
      </w:r>
      <w:r w:rsidR="00F27913" w:rsidRPr="00F27913">
        <w:rPr>
          <w:rFonts w:ascii="Times New Roman" w:hAnsi="Times New Roman" w:cs="Times New Roman"/>
          <w:b/>
          <w:smallCaps/>
          <w:sz w:val="24"/>
          <w:szCs w:val="24"/>
        </w:rPr>
        <w:t>'ordine pubblico come denominatore comune nella circolazione di prove tra Stati</w:t>
      </w:r>
    </w:p>
    <w:p w:rsidR="00D178A4" w:rsidRDefault="00D178A4" w:rsidP="00D178A4">
      <w:pPr>
        <w:pStyle w:val="Paragrafoelenco"/>
        <w:tabs>
          <w:tab w:val="left" w:pos="0"/>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Tirando le somme, rimane da domandarsi che cosa accomuni le due soluzioni appena proposte con riguardo alla circolazione probatoria tra Stati, in un settore, quello dei reati familiari, che interessa tanto il giudice penale quanto il civile. </w:t>
      </w:r>
    </w:p>
    <w:p w:rsidR="00D178A4" w:rsidRDefault="00D178A4" w:rsidP="00D178A4">
      <w:pPr>
        <w:pStyle w:val="Paragrafoelenco"/>
        <w:tabs>
          <w:tab w:val="left" w:pos="0"/>
        </w:tabs>
        <w:spacing w:after="0"/>
        <w:ind w:left="0"/>
        <w:jc w:val="both"/>
        <w:rPr>
          <w:rFonts w:ascii="Times New Roman" w:hAnsi="Times New Roman" w:cs="Times New Roman"/>
          <w:sz w:val="24"/>
          <w:szCs w:val="24"/>
        </w:rPr>
      </w:pPr>
      <w:r>
        <w:rPr>
          <w:rFonts w:ascii="Times New Roman" w:hAnsi="Times New Roman" w:cs="Times New Roman"/>
          <w:sz w:val="24"/>
          <w:szCs w:val="24"/>
        </w:rPr>
        <w:tab/>
        <w:t xml:space="preserve">La risposta risiede nella posizione della parte. Prim'ancora che il giudice, è la parte che deve farsi soggetto diligente, in grado di spiegare alla corte perché gli elementi che giungono, richiesti dal suo antagonista, dal contenzioso civile straniero non soddisfano i requisiti minimi, in termine di ordine pubblico, per entrare nel giudizio penale nostrano. In ciò, s'è detto, non si </w:t>
      </w:r>
      <w:proofErr w:type="spellStart"/>
      <w:r>
        <w:rPr>
          <w:rFonts w:ascii="Times New Roman" w:hAnsi="Times New Roman" w:cs="Times New Roman"/>
          <w:sz w:val="24"/>
          <w:szCs w:val="24"/>
        </w:rPr>
        <w:t>rinvegnono</w:t>
      </w:r>
      <w:proofErr w:type="spellEnd"/>
      <w:r>
        <w:rPr>
          <w:rFonts w:ascii="Times New Roman" w:hAnsi="Times New Roman" w:cs="Times New Roman"/>
          <w:sz w:val="24"/>
          <w:szCs w:val="24"/>
        </w:rPr>
        <w:t xml:space="preserve"> limiti di sorta al tipo di prova ricorribile, ovviamente nelle forme previste dall'art. 495, comma 2, </w:t>
      </w:r>
      <w:proofErr w:type="spellStart"/>
      <w:r>
        <w:rPr>
          <w:rFonts w:ascii="Times New Roman" w:hAnsi="Times New Roman" w:cs="Times New Roman"/>
          <w:sz w:val="24"/>
          <w:szCs w:val="24"/>
        </w:rPr>
        <w:t>c.p.p</w:t>
      </w:r>
      <w:proofErr w:type="spellEnd"/>
      <w:r>
        <w:rPr>
          <w:rFonts w:ascii="Times New Roman" w:hAnsi="Times New Roman" w:cs="Times New Roman"/>
          <w:sz w:val="24"/>
          <w:szCs w:val="24"/>
        </w:rPr>
        <w:t xml:space="preserve">.. </w:t>
      </w:r>
    </w:p>
    <w:p w:rsidR="00D178A4" w:rsidRDefault="00D178A4" w:rsidP="00D178A4">
      <w:pPr>
        <w:pStyle w:val="Paragrafoelenco"/>
        <w:tabs>
          <w:tab w:val="left" w:pos="0"/>
        </w:tabs>
        <w:spacing w:after="0"/>
        <w:ind w:left="0"/>
        <w:jc w:val="both"/>
        <w:rPr>
          <w:rFonts w:ascii="Times New Roman" w:hAnsi="Times New Roman" w:cs="Times New Roman"/>
          <w:sz w:val="24"/>
          <w:szCs w:val="24"/>
        </w:rPr>
      </w:pPr>
      <w:r>
        <w:rPr>
          <w:rFonts w:ascii="Times New Roman" w:hAnsi="Times New Roman" w:cs="Times New Roman"/>
          <w:sz w:val="24"/>
          <w:szCs w:val="24"/>
        </w:rPr>
        <w:tab/>
        <w:t xml:space="preserve">Dal canto proprio, è impensabile che il giudice riceva </w:t>
      </w:r>
      <w:r w:rsidR="003567F5">
        <w:rPr>
          <w:rFonts w:ascii="Times New Roman" w:hAnsi="Times New Roman" w:cs="Times New Roman"/>
          <w:sz w:val="24"/>
          <w:szCs w:val="24"/>
        </w:rPr>
        <w:t xml:space="preserve">la richiesta di acquisire prove (civili) straniere e le tratti come semplici documenti, senza stimolare il contraddittorio su di esse e, per quella via, senza verificarne la provenienza e la genuinità. </w:t>
      </w:r>
    </w:p>
    <w:p w:rsidR="000F5775" w:rsidRDefault="003567F5" w:rsidP="003567F5">
      <w:pPr>
        <w:pStyle w:val="Paragrafoelenco"/>
        <w:tabs>
          <w:tab w:val="left" w:pos="0"/>
        </w:tabs>
        <w:spacing w:after="0"/>
        <w:ind w:left="0"/>
        <w:jc w:val="both"/>
        <w:rPr>
          <w:rFonts w:ascii="Times New Roman" w:hAnsi="Times New Roman" w:cs="Times New Roman"/>
          <w:sz w:val="24"/>
          <w:szCs w:val="24"/>
        </w:rPr>
      </w:pPr>
      <w:r>
        <w:rPr>
          <w:rFonts w:ascii="Times New Roman" w:hAnsi="Times New Roman" w:cs="Times New Roman"/>
          <w:sz w:val="24"/>
          <w:szCs w:val="24"/>
        </w:rPr>
        <w:tab/>
        <w:t>Bene si è espresso un giudice del merito che, di fronte all'istanza di un'imputata straniera, rivolta ad ottenere l'acquisizione di documenti provenienti dall'amministrazione estera in un processo penale italiano per sottrazione e trattenimento di minore all'estero, si è così pronunciato: «</w:t>
      </w:r>
      <w:r w:rsidRPr="003567F5">
        <w:rPr>
          <w:rFonts w:ascii="Times New Roman" w:hAnsi="Times New Roman" w:cs="Times New Roman"/>
          <w:sz w:val="24"/>
          <w:szCs w:val="24"/>
        </w:rPr>
        <w:t xml:space="preserve">ai sensi dell’art. 190 </w:t>
      </w:r>
      <w:proofErr w:type="spellStart"/>
      <w:r w:rsidRPr="003567F5">
        <w:rPr>
          <w:rFonts w:ascii="Times New Roman" w:hAnsi="Times New Roman" w:cs="Times New Roman"/>
          <w:sz w:val="24"/>
          <w:szCs w:val="24"/>
        </w:rPr>
        <w:t>c.p.p.</w:t>
      </w:r>
      <w:proofErr w:type="spellEnd"/>
      <w:r w:rsidRPr="003567F5">
        <w:rPr>
          <w:rFonts w:ascii="Times New Roman" w:hAnsi="Times New Roman" w:cs="Times New Roman"/>
          <w:sz w:val="24"/>
          <w:szCs w:val="24"/>
        </w:rPr>
        <w:t xml:space="preserve"> l’acquisizione di tali atti quali prove documentali nel senso suindicato presuppone la delibazione giurisdizionale di non manifesta irrilevanza e superfluità ai fini dell’accertamento dei fatti per cui si procede, la quale tuttavia resta preclusa qualora – come nel caso di specie – gli scritti in questione risultino mere fotocopie di atti in lingua straniera privi di alcuna certificazione di provenienza e di alcuna traduzione giurata, dei quali sia pertanto impossibile comprendere il contenuto, né da chi e/o in che modo e/o a che titolo e/o con quale procedura siano stati formati nonché rilasciati in copia alla parte che li produce». E ancora, «considerato che la condizione dell’imputata da cui tali atti </w:t>
      </w:r>
      <w:r w:rsidRPr="003567F5">
        <w:rPr>
          <w:rFonts w:ascii="Times New Roman" w:hAnsi="Times New Roman" w:cs="Times New Roman"/>
          <w:sz w:val="24"/>
          <w:szCs w:val="24"/>
        </w:rPr>
        <w:lastRenderedPageBreak/>
        <w:t>provengono (residente all’estero) e la natura stessa degli atti prodotti (apparentemente resi e rilasciati in copia da soggetti e uffici stranieri) non forniscono alcuna garanzia della genuinità della relativa documentazione ed anzi ostacolano la relativa verifica degli altri soggetti processuali</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74"/>
      </w:r>
      <w:r>
        <w:rPr>
          <w:rFonts w:ascii="Times New Roman" w:hAnsi="Times New Roman" w:cs="Times New Roman"/>
          <w:sz w:val="24"/>
          <w:szCs w:val="24"/>
        </w:rPr>
        <w:t>.</w:t>
      </w:r>
    </w:p>
    <w:p w:rsidR="003567F5" w:rsidRDefault="003567F5" w:rsidP="003567F5">
      <w:pPr>
        <w:pStyle w:val="Paragrafoelenco"/>
        <w:tabs>
          <w:tab w:val="left" w:pos="0"/>
        </w:tabs>
        <w:spacing w:after="0"/>
        <w:ind w:left="0"/>
        <w:jc w:val="both"/>
        <w:rPr>
          <w:rFonts w:ascii="Times New Roman" w:hAnsi="Times New Roman" w:cs="Times New Roman"/>
          <w:sz w:val="24"/>
          <w:szCs w:val="24"/>
        </w:rPr>
      </w:pPr>
      <w:r>
        <w:rPr>
          <w:rFonts w:ascii="Times New Roman" w:hAnsi="Times New Roman" w:cs="Times New Roman"/>
          <w:sz w:val="24"/>
          <w:szCs w:val="24"/>
        </w:rPr>
        <w:tab/>
        <w:t xml:space="preserve">L'assenza di un controllo sulla provenienza e l'autenticità del documento straniero impedisce il vaglio di ammissibilità imposto dall'art. 190 </w:t>
      </w:r>
      <w:proofErr w:type="spellStart"/>
      <w:r>
        <w:rPr>
          <w:rFonts w:ascii="Times New Roman" w:hAnsi="Times New Roman" w:cs="Times New Roman"/>
          <w:sz w:val="24"/>
          <w:szCs w:val="24"/>
        </w:rPr>
        <w:t>c.p.p.</w:t>
      </w:r>
      <w:proofErr w:type="spellEnd"/>
      <w:r>
        <w:rPr>
          <w:rFonts w:ascii="Times New Roman" w:hAnsi="Times New Roman" w:cs="Times New Roman"/>
          <w:sz w:val="24"/>
          <w:szCs w:val="24"/>
        </w:rPr>
        <w:t xml:space="preserve">; d'altro canto, l'omessa interazione con la parte che subisce questa peculiare richiesta istruttoria, oltre a violare il principio del contraddittorio, rischia di inserire nel contesto processuale nostrano atti che gli sarebbero estranei, giacché irrispettosi dei principi su cui si fonda. </w:t>
      </w:r>
    </w:p>
    <w:p w:rsidR="003567F5" w:rsidRPr="00810247" w:rsidRDefault="003567F5" w:rsidP="003567F5">
      <w:pPr>
        <w:pStyle w:val="Paragrafoelenco"/>
        <w:tabs>
          <w:tab w:val="left" w:pos="0"/>
        </w:tabs>
        <w:spacing w:after="0"/>
        <w:ind w:left="0"/>
        <w:jc w:val="both"/>
        <w:rPr>
          <w:rFonts w:ascii="Times New Roman" w:hAnsi="Times New Roman" w:cs="Times New Roman"/>
          <w:sz w:val="24"/>
          <w:szCs w:val="24"/>
        </w:rPr>
      </w:pPr>
      <w:r>
        <w:rPr>
          <w:rFonts w:ascii="Times New Roman" w:hAnsi="Times New Roman" w:cs="Times New Roman"/>
          <w:sz w:val="24"/>
          <w:szCs w:val="24"/>
        </w:rPr>
        <w:tab/>
        <w:t xml:space="preserve">La regola che deve animare la circolazione di prove dal giudizio civile straniero a quello penale italiano deve essere una rispettosa dell'ordine pubblico, declinabile in vario modo nelle sue accezioni più tipiche: nazionale, europeo ed internazionale. Quale sia, infatti, la versione di cui si scelga di tenere conto, essa si riferisce comunque al fondamento dei principi su cui si erige l'ordinamento, in questo caso, nostrano, rispetto ai quali mai potrà dirsi estranea l'acquisizione probatoria proveniente da oltre confine. Ordine pubblico, quindi, come garanzia di equità processuale ma, anche, di uniformità nei valori che ispirano i giudizi ‒ ancorché appartenenti ad ambiti così diversi come il civile e il penale ‒ degli Stati in gioco, tale essendo ‒ appunto, l'uniformità ‒ la garanzia necessaria al buon esito di qualunque forma di collaborazione investigativa e giudiziaria a livello sovranazionale. </w:t>
      </w:r>
    </w:p>
    <w:sectPr w:rsidR="003567F5" w:rsidRPr="00810247" w:rsidSect="00DF3FC3">
      <w:footerReference w:type="default" r:id="rId7"/>
      <w:pgSz w:w="11906" w:h="16838"/>
      <w:pgMar w:top="1701"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308" w:rsidRDefault="00BB4308" w:rsidP="00124EB8">
      <w:pPr>
        <w:spacing w:after="0" w:line="240" w:lineRule="auto"/>
      </w:pPr>
      <w:r>
        <w:separator/>
      </w:r>
    </w:p>
  </w:endnote>
  <w:endnote w:type="continuationSeparator" w:id="0">
    <w:p w:rsidR="00BB4308" w:rsidRDefault="00BB4308" w:rsidP="00124E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981532"/>
      <w:docPartObj>
        <w:docPartGallery w:val="Page Numbers (Bottom of Page)"/>
        <w:docPartUnique/>
      </w:docPartObj>
    </w:sdtPr>
    <w:sdtContent>
      <w:p w:rsidR="000F29E3" w:rsidRDefault="00132C61">
        <w:pPr>
          <w:pStyle w:val="Pidipagina"/>
          <w:jc w:val="center"/>
        </w:pPr>
        <w:r w:rsidRPr="00124EB8">
          <w:rPr>
            <w:rFonts w:ascii="Times New Roman" w:hAnsi="Times New Roman" w:cs="Times New Roman"/>
          </w:rPr>
          <w:fldChar w:fldCharType="begin"/>
        </w:r>
        <w:r w:rsidR="000F29E3" w:rsidRPr="00124EB8">
          <w:rPr>
            <w:rFonts w:ascii="Times New Roman" w:hAnsi="Times New Roman" w:cs="Times New Roman"/>
          </w:rPr>
          <w:instrText xml:space="preserve"> PAGE   \* MERGEFORMAT </w:instrText>
        </w:r>
        <w:r w:rsidRPr="00124EB8">
          <w:rPr>
            <w:rFonts w:ascii="Times New Roman" w:hAnsi="Times New Roman" w:cs="Times New Roman"/>
          </w:rPr>
          <w:fldChar w:fldCharType="separate"/>
        </w:r>
        <w:r w:rsidR="00243D34">
          <w:rPr>
            <w:rFonts w:ascii="Times New Roman" w:hAnsi="Times New Roman" w:cs="Times New Roman"/>
            <w:noProof/>
          </w:rPr>
          <w:t>2</w:t>
        </w:r>
        <w:r w:rsidRPr="00124EB8">
          <w:rPr>
            <w:rFonts w:ascii="Times New Roman" w:hAnsi="Times New Roman" w:cs="Times New Roman"/>
          </w:rPr>
          <w:fldChar w:fldCharType="end"/>
        </w:r>
      </w:p>
    </w:sdtContent>
  </w:sdt>
  <w:p w:rsidR="000F29E3" w:rsidRDefault="000F29E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308" w:rsidRDefault="00BB4308" w:rsidP="00124EB8">
      <w:pPr>
        <w:spacing w:after="0" w:line="240" w:lineRule="auto"/>
      </w:pPr>
      <w:r>
        <w:separator/>
      </w:r>
    </w:p>
  </w:footnote>
  <w:footnote w:type="continuationSeparator" w:id="0">
    <w:p w:rsidR="00BB4308" w:rsidRDefault="00BB4308" w:rsidP="00124EB8">
      <w:pPr>
        <w:spacing w:after="0" w:line="240" w:lineRule="auto"/>
      </w:pPr>
      <w:r>
        <w:continuationSeparator/>
      </w:r>
    </w:p>
  </w:footnote>
  <w:footnote w:id="1">
    <w:p w:rsidR="00F27913" w:rsidRPr="00F27913" w:rsidRDefault="00F27913" w:rsidP="00124EB8">
      <w:pPr>
        <w:pStyle w:val="Testonotaapidipagina"/>
        <w:ind w:firstLine="708"/>
        <w:jc w:val="both"/>
        <w:rPr>
          <w:rFonts w:ascii="Times New Roman" w:hAnsi="Times New Roman" w:cs="Times New Roman"/>
        </w:rPr>
      </w:pPr>
      <w:r>
        <w:rPr>
          <w:rFonts w:ascii="Times New Roman" w:hAnsi="Times New Roman" w:cs="Times New Roman"/>
        </w:rPr>
        <w:t xml:space="preserve">* Questo è il testo dell'omonima relazione per il Convegno </w:t>
      </w:r>
      <w:r>
        <w:rPr>
          <w:rFonts w:ascii="Times New Roman" w:hAnsi="Times New Roman" w:cs="Times New Roman"/>
          <w:i/>
        </w:rPr>
        <w:t>La tutela penale della persona nelle relazioni familiari</w:t>
      </w:r>
      <w:r>
        <w:rPr>
          <w:rFonts w:ascii="Times New Roman" w:hAnsi="Times New Roman" w:cs="Times New Roman"/>
        </w:rPr>
        <w:t xml:space="preserve">, organizzato da Università degli Studi di Ferrara, AIAF Veneto e Ordine degli Avvocati di Rovigo, e tenutosi a Rovigo il 31 marzo 2017. </w:t>
      </w:r>
    </w:p>
    <w:p w:rsidR="000F29E3" w:rsidRPr="00124EB8" w:rsidRDefault="000F29E3" w:rsidP="00124EB8">
      <w:pPr>
        <w:pStyle w:val="Testonotaapidipagina"/>
        <w:ind w:firstLine="708"/>
        <w:jc w:val="both"/>
        <w:rPr>
          <w:rFonts w:ascii="Times New Roman" w:hAnsi="Times New Roman" w:cs="Times New Roman"/>
        </w:rPr>
      </w:pPr>
      <w:r w:rsidRPr="00124EB8">
        <w:rPr>
          <w:rStyle w:val="Rimandonotaapidipagina"/>
          <w:rFonts w:ascii="Times New Roman" w:hAnsi="Times New Roman" w:cs="Times New Roman"/>
        </w:rPr>
        <w:footnoteRef/>
      </w:r>
      <w:r w:rsidRPr="00124EB8">
        <w:rPr>
          <w:rFonts w:ascii="Times New Roman" w:hAnsi="Times New Roman" w:cs="Times New Roman"/>
        </w:rPr>
        <w:t xml:space="preserve"> </w:t>
      </w:r>
      <w:r>
        <w:rPr>
          <w:rFonts w:ascii="Times New Roman" w:hAnsi="Times New Roman" w:cs="Times New Roman"/>
        </w:rPr>
        <w:t xml:space="preserve">Sul tema, G. </w:t>
      </w:r>
      <w:proofErr w:type="spellStart"/>
      <w:r>
        <w:rPr>
          <w:rFonts w:ascii="Times New Roman" w:hAnsi="Times New Roman" w:cs="Times New Roman"/>
        </w:rPr>
        <w:t>Canzio</w:t>
      </w:r>
      <w:proofErr w:type="spellEnd"/>
      <w:r>
        <w:rPr>
          <w:rFonts w:ascii="Times New Roman" w:hAnsi="Times New Roman" w:cs="Times New Roman"/>
        </w:rPr>
        <w:t xml:space="preserve">, </w:t>
      </w:r>
      <w:r>
        <w:rPr>
          <w:rFonts w:ascii="Times New Roman" w:hAnsi="Times New Roman" w:cs="Times New Roman"/>
          <w:i/>
        </w:rPr>
        <w:t>La tutela della vittima nel sistema delle garanzie processuali: le misure cautelari e la testimonianza vulnerabile</w:t>
      </w:r>
      <w:r>
        <w:rPr>
          <w:rFonts w:ascii="Times New Roman" w:hAnsi="Times New Roman" w:cs="Times New Roman"/>
        </w:rPr>
        <w:t xml:space="preserve">, in </w:t>
      </w:r>
      <w:r>
        <w:rPr>
          <w:rFonts w:ascii="Times New Roman" w:hAnsi="Times New Roman" w:cs="Times New Roman"/>
          <w:i/>
        </w:rPr>
        <w:t xml:space="preserve">Dir. </w:t>
      </w:r>
      <w:proofErr w:type="spellStart"/>
      <w:r>
        <w:rPr>
          <w:rFonts w:ascii="Times New Roman" w:hAnsi="Times New Roman" w:cs="Times New Roman"/>
          <w:i/>
        </w:rPr>
        <w:t>pen</w:t>
      </w:r>
      <w:proofErr w:type="spellEnd"/>
      <w:r>
        <w:rPr>
          <w:rFonts w:ascii="Times New Roman" w:hAnsi="Times New Roman" w:cs="Times New Roman"/>
          <w:i/>
        </w:rPr>
        <w:t>. proc.</w:t>
      </w:r>
      <w:r>
        <w:rPr>
          <w:rFonts w:ascii="Times New Roman" w:hAnsi="Times New Roman" w:cs="Times New Roman"/>
        </w:rPr>
        <w:t>, 2010, p. 988.</w:t>
      </w:r>
    </w:p>
  </w:footnote>
  <w:footnote w:id="2">
    <w:p w:rsidR="000F29E3" w:rsidRPr="00124EB8" w:rsidRDefault="000F29E3" w:rsidP="00124EB8">
      <w:pPr>
        <w:pStyle w:val="Testonotaapidipagina"/>
        <w:ind w:firstLine="708"/>
        <w:jc w:val="both"/>
        <w:rPr>
          <w:rFonts w:ascii="Times New Roman" w:hAnsi="Times New Roman" w:cs="Times New Roman"/>
        </w:rPr>
      </w:pPr>
      <w:r w:rsidRPr="00124EB8">
        <w:rPr>
          <w:rStyle w:val="Rimandonotaapidipagina"/>
          <w:rFonts w:ascii="Times New Roman" w:hAnsi="Times New Roman" w:cs="Times New Roman"/>
        </w:rPr>
        <w:footnoteRef/>
      </w:r>
      <w:r w:rsidRPr="00124EB8">
        <w:rPr>
          <w:rFonts w:ascii="Times New Roman" w:hAnsi="Times New Roman" w:cs="Times New Roman"/>
        </w:rPr>
        <w:t xml:space="preserve"> </w:t>
      </w:r>
      <w:r>
        <w:rPr>
          <w:rFonts w:ascii="Times New Roman" w:hAnsi="Times New Roman" w:cs="Times New Roman"/>
        </w:rPr>
        <w:t xml:space="preserve">Utili approfondimenti in D. </w:t>
      </w:r>
      <w:proofErr w:type="spellStart"/>
      <w:r>
        <w:rPr>
          <w:rFonts w:ascii="Times New Roman" w:hAnsi="Times New Roman" w:cs="Times New Roman"/>
        </w:rPr>
        <w:t>Abram</w:t>
      </w:r>
      <w:proofErr w:type="spellEnd"/>
      <w:r>
        <w:rPr>
          <w:rFonts w:ascii="Times New Roman" w:hAnsi="Times New Roman" w:cs="Times New Roman"/>
        </w:rPr>
        <w:t xml:space="preserve">, M. </w:t>
      </w:r>
      <w:proofErr w:type="spellStart"/>
      <w:r>
        <w:rPr>
          <w:rFonts w:ascii="Times New Roman" w:hAnsi="Times New Roman" w:cs="Times New Roman"/>
        </w:rPr>
        <w:t>Acierno</w:t>
      </w:r>
      <w:proofErr w:type="spellEnd"/>
      <w:r>
        <w:rPr>
          <w:rFonts w:ascii="Times New Roman" w:hAnsi="Times New Roman" w:cs="Times New Roman"/>
        </w:rPr>
        <w:t xml:space="preserve">, </w:t>
      </w:r>
      <w:r>
        <w:rPr>
          <w:rFonts w:ascii="Times New Roman" w:hAnsi="Times New Roman" w:cs="Times New Roman"/>
          <w:i/>
        </w:rPr>
        <w:t>Le violenze domestiche trovano una risposta normativa</w:t>
      </w:r>
      <w:r>
        <w:rPr>
          <w:rFonts w:ascii="Times New Roman" w:hAnsi="Times New Roman" w:cs="Times New Roman"/>
        </w:rPr>
        <w:t xml:space="preserve">, in </w:t>
      </w:r>
      <w:proofErr w:type="spellStart"/>
      <w:r>
        <w:rPr>
          <w:rFonts w:ascii="Times New Roman" w:hAnsi="Times New Roman" w:cs="Times New Roman"/>
          <w:i/>
        </w:rPr>
        <w:t>Quest</w:t>
      </w:r>
      <w:proofErr w:type="spellEnd"/>
      <w:r>
        <w:rPr>
          <w:rFonts w:ascii="Times New Roman" w:hAnsi="Times New Roman" w:cs="Times New Roman"/>
          <w:i/>
        </w:rPr>
        <w:t xml:space="preserve">. </w:t>
      </w:r>
      <w:proofErr w:type="spellStart"/>
      <w:r>
        <w:rPr>
          <w:rFonts w:ascii="Times New Roman" w:hAnsi="Times New Roman" w:cs="Times New Roman"/>
          <w:i/>
        </w:rPr>
        <w:t>giust</w:t>
      </w:r>
      <w:proofErr w:type="spellEnd"/>
      <w:r>
        <w:rPr>
          <w:rFonts w:ascii="Times New Roman" w:hAnsi="Times New Roman" w:cs="Times New Roman"/>
          <w:i/>
        </w:rPr>
        <w:t>.</w:t>
      </w:r>
      <w:r>
        <w:rPr>
          <w:rFonts w:ascii="Times New Roman" w:hAnsi="Times New Roman" w:cs="Times New Roman"/>
        </w:rPr>
        <w:t xml:space="preserve">, 2001, p. 224 ss.; D. Negri, </w:t>
      </w:r>
      <w:r>
        <w:rPr>
          <w:rFonts w:ascii="Times New Roman" w:hAnsi="Times New Roman" w:cs="Times New Roman"/>
          <w:i/>
        </w:rPr>
        <w:t>Le misure cautelari a tutela della vittima: dietro il paradigma flessibile, il rischio di un'incontrollata prevenzione</w:t>
      </w:r>
      <w:r>
        <w:rPr>
          <w:rFonts w:ascii="Times New Roman" w:hAnsi="Times New Roman" w:cs="Times New Roman"/>
        </w:rPr>
        <w:t xml:space="preserve">, in </w:t>
      </w:r>
      <w:proofErr w:type="spellStart"/>
      <w:r>
        <w:rPr>
          <w:rFonts w:ascii="Times New Roman" w:hAnsi="Times New Roman" w:cs="Times New Roman"/>
          <w:i/>
        </w:rPr>
        <w:t>Giur</w:t>
      </w:r>
      <w:proofErr w:type="spellEnd"/>
      <w:r>
        <w:rPr>
          <w:rFonts w:ascii="Times New Roman" w:hAnsi="Times New Roman" w:cs="Times New Roman"/>
          <w:i/>
        </w:rPr>
        <w:t xml:space="preserve">. </w:t>
      </w:r>
      <w:proofErr w:type="spellStart"/>
      <w:r>
        <w:rPr>
          <w:rFonts w:ascii="Times New Roman" w:hAnsi="Times New Roman" w:cs="Times New Roman"/>
          <w:i/>
        </w:rPr>
        <w:t>it</w:t>
      </w:r>
      <w:proofErr w:type="spellEnd"/>
      <w:r>
        <w:rPr>
          <w:rFonts w:ascii="Times New Roman" w:hAnsi="Times New Roman" w:cs="Times New Roman"/>
          <w:i/>
        </w:rPr>
        <w:t>.</w:t>
      </w:r>
      <w:r>
        <w:rPr>
          <w:rFonts w:ascii="Times New Roman" w:hAnsi="Times New Roman" w:cs="Times New Roman"/>
        </w:rPr>
        <w:t xml:space="preserve">, 2012, p. 471 ss.; P. Bronzo, </w:t>
      </w:r>
      <w:r>
        <w:rPr>
          <w:rFonts w:ascii="Times New Roman" w:hAnsi="Times New Roman" w:cs="Times New Roman"/>
          <w:i/>
        </w:rPr>
        <w:t>Misure cautelari penali e reati familiari</w:t>
      </w:r>
      <w:r>
        <w:rPr>
          <w:rFonts w:ascii="Times New Roman" w:hAnsi="Times New Roman" w:cs="Times New Roman"/>
        </w:rPr>
        <w:t xml:space="preserve">, in S. </w:t>
      </w:r>
      <w:proofErr w:type="spellStart"/>
      <w:r>
        <w:rPr>
          <w:rFonts w:ascii="Times New Roman" w:hAnsi="Times New Roman" w:cs="Times New Roman"/>
        </w:rPr>
        <w:t>Moccia</w:t>
      </w:r>
      <w:proofErr w:type="spellEnd"/>
      <w:r>
        <w:rPr>
          <w:rFonts w:ascii="Times New Roman" w:hAnsi="Times New Roman" w:cs="Times New Roman"/>
        </w:rPr>
        <w:t xml:space="preserve"> (diretto da), </w:t>
      </w:r>
      <w:r>
        <w:rPr>
          <w:rFonts w:ascii="Times New Roman" w:hAnsi="Times New Roman" w:cs="Times New Roman"/>
          <w:i/>
        </w:rPr>
        <w:t>Trattato di diritto penale. Parte speciale</w:t>
      </w:r>
      <w:r>
        <w:rPr>
          <w:rFonts w:ascii="Times New Roman" w:hAnsi="Times New Roman" w:cs="Times New Roman"/>
        </w:rPr>
        <w:t xml:space="preserve">, vol. X, </w:t>
      </w:r>
      <w:r>
        <w:rPr>
          <w:rFonts w:ascii="Times New Roman" w:hAnsi="Times New Roman" w:cs="Times New Roman"/>
          <w:i/>
        </w:rPr>
        <w:t>Delitti contro la famiglia</w:t>
      </w:r>
      <w:r>
        <w:rPr>
          <w:rFonts w:ascii="Times New Roman" w:hAnsi="Times New Roman" w:cs="Times New Roman"/>
        </w:rPr>
        <w:t xml:space="preserve">, a cura di S. Preziosi, Napoli, 2011, p. 760 ss.; T. </w:t>
      </w:r>
      <w:proofErr w:type="spellStart"/>
      <w:r>
        <w:rPr>
          <w:rFonts w:ascii="Times New Roman" w:hAnsi="Times New Roman" w:cs="Times New Roman"/>
        </w:rPr>
        <w:t>Rafaraci</w:t>
      </w:r>
      <w:proofErr w:type="spellEnd"/>
      <w:r>
        <w:rPr>
          <w:rFonts w:ascii="Times New Roman" w:hAnsi="Times New Roman" w:cs="Times New Roman"/>
        </w:rPr>
        <w:t xml:space="preserve">, </w:t>
      </w:r>
      <w:r>
        <w:rPr>
          <w:rFonts w:ascii="Times New Roman" w:hAnsi="Times New Roman" w:cs="Times New Roman"/>
          <w:i/>
        </w:rPr>
        <w:t>Opinioni a confronto. La tutela della vittima nel sistema penale delle garanzie</w:t>
      </w:r>
      <w:r>
        <w:rPr>
          <w:rFonts w:ascii="Times New Roman" w:hAnsi="Times New Roman" w:cs="Times New Roman"/>
        </w:rPr>
        <w:t xml:space="preserve">, in </w:t>
      </w:r>
      <w:proofErr w:type="spellStart"/>
      <w:r>
        <w:rPr>
          <w:rFonts w:ascii="Times New Roman" w:hAnsi="Times New Roman" w:cs="Times New Roman"/>
          <w:i/>
        </w:rPr>
        <w:t>Criminalia</w:t>
      </w:r>
      <w:proofErr w:type="spellEnd"/>
      <w:r>
        <w:rPr>
          <w:rFonts w:ascii="Times New Roman" w:hAnsi="Times New Roman" w:cs="Times New Roman"/>
        </w:rPr>
        <w:t xml:space="preserve">, 2010, p. 273, nota 5; S. Silvani, </w:t>
      </w:r>
      <w:r>
        <w:rPr>
          <w:rFonts w:ascii="Times New Roman" w:hAnsi="Times New Roman" w:cs="Times New Roman"/>
          <w:i/>
        </w:rPr>
        <w:t>Misure contro la violenza nelle relazioni familiari (L. 4 aprile 2001, n. 154)</w:t>
      </w:r>
      <w:r>
        <w:rPr>
          <w:rFonts w:ascii="Times New Roman" w:hAnsi="Times New Roman" w:cs="Times New Roman"/>
        </w:rPr>
        <w:t xml:space="preserve">, in </w:t>
      </w:r>
      <w:proofErr w:type="spellStart"/>
      <w:r>
        <w:rPr>
          <w:rFonts w:ascii="Times New Roman" w:hAnsi="Times New Roman" w:cs="Times New Roman"/>
          <w:i/>
        </w:rPr>
        <w:t>Leg</w:t>
      </w:r>
      <w:proofErr w:type="spellEnd"/>
      <w:r>
        <w:rPr>
          <w:rFonts w:ascii="Times New Roman" w:hAnsi="Times New Roman" w:cs="Times New Roman"/>
          <w:i/>
        </w:rPr>
        <w:t xml:space="preserve">. </w:t>
      </w:r>
      <w:proofErr w:type="spellStart"/>
      <w:r>
        <w:rPr>
          <w:rFonts w:ascii="Times New Roman" w:hAnsi="Times New Roman" w:cs="Times New Roman"/>
          <w:i/>
        </w:rPr>
        <w:t>pen</w:t>
      </w:r>
      <w:proofErr w:type="spellEnd"/>
      <w:r>
        <w:rPr>
          <w:rFonts w:ascii="Times New Roman" w:hAnsi="Times New Roman" w:cs="Times New Roman"/>
          <w:i/>
        </w:rPr>
        <w:t>.</w:t>
      </w:r>
      <w:r>
        <w:rPr>
          <w:rFonts w:ascii="Times New Roman" w:hAnsi="Times New Roman" w:cs="Times New Roman"/>
        </w:rPr>
        <w:t>, 2001, p. 678.</w:t>
      </w:r>
    </w:p>
  </w:footnote>
  <w:footnote w:id="3">
    <w:p w:rsidR="000F29E3" w:rsidRPr="00124EB8" w:rsidRDefault="000F29E3" w:rsidP="00124EB8">
      <w:pPr>
        <w:pStyle w:val="Testonotaapidipagina"/>
        <w:ind w:firstLine="708"/>
        <w:jc w:val="both"/>
        <w:rPr>
          <w:rFonts w:ascii="Times New Roman" w:hAnsi="Times New Roman" w:cs="Times New Roman"/>
        </w:rPr>
      </w:pPr>
      <w:r w:rsidRPr="00124EB8">
        <w:rPr>
          <w:rStyle w:val="Rimandonotaapidipagina"/>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i/>
        </w:rPr>
        <w:t>Amplius</w:t>
      </w:r>
      <w:proofErr w:type="spellEnd"/>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A.M. </w:t>
      </w:r>
      <w:proofErr w:type="spellStart"/>
      <w:r>
        <w:rPr>
          <w:rFonts w:ascii="Times New Roman" w:hAnsi="Times New Roman" w:cs="Times New Roman"/>
        </w:rPr>
        <w:t>Ciavola</w:t>
      </w:r>
      <w:proofErr w:type="spellEnd"/>
      <w:r>
        <w:rPr>
          <w:rFonts w:ascii="Times New Roman" w:hAnsi="Times New Roman" w:cs="Times New Roman"/>
        </w:rPr>
        <w:t xml:space="preserve">, </w:t>
      </w:r>
      <w:r>
        <w:rPr>
          <w:rFonts w:ascii="Times New Roman" w:hAnsi="Times New Roman" w:cs="Times New Roman"/>
          <w:i/>
        </w:rPr>
        <w:t>Modelli operativi nell'indagine penale a tutela dei minori vittime di abusi sessuali e maltrattamenti. L'esperienza nel distretto della Corte d'appello di Reggio Calabria</w:t>
      </w:r>
      <w:r>
        <w:rPr>
          <w:rFonts w:ascii="Times New Roman" w:hAnsi="Times New Roman" w:cs="Times New Roman"/>
        </w:rPr>
        <w:t xml:space="preserve">, in </w:t>
      </w:r>
      <w:r>
        <w:rPr>
          <w:rFonts w:ascii="Times New Roman" w:hAnsi="Times New Roman" w:cs="Times New Roman"/>
          <w:i/>
        </w:rPr>
        <w:t xml:space="preserve">Cass. </w:t>
      </w:r>
      <w:proofErr w:type="spellStart"/>
      <w:r>
        <w:rPr>
          <w:rFonts w:ascii="Times New Roman" w:hAnsi="Times New Roman" w:cs="Times New Roman"/>
          <w:i/>
        </w:rPr>
        <w:t>pen</w:t>
      </w:r>
      <w:proofErr w:type="spellEnd"/>
      <w:r>
        <w:rPr>
          <w:rFonts w:ascii="Times New Roman" w:hAnsi="Times New Roman" w:cs="Times New Roman"/>
          <w:i/>
        </w:rPr>
        <w:t>.</w:t>
      </w:r>
      <w:r>
        <w:rPr>
          <w:rFonts w:ascii="Times New Roman" w:hAnsi="Times New Roman" w:cs="Times New Roman"/>
        </w:rPr>
        <w:t>, 2015, p. 879 ss.</w:t>
      </w:r>
      <w:r w:rsidRPr="00124EB8">
        <w:rPr>
          <w:rFonts w:ascii="Times New Roman" w:hAnsi="Times New Roman" w:cs="Times New Roman"/>
        </w:rPr>
        <w:t xml:space="preserve"> </w:t>
      </w:r>
    </w:p>
  </w:footnote>
  <w:footnote w:id="4">
    <w:p w:rsidR="000F29E3" w:rsidRPr="00124EB8" w:rsidRDefault="000F29E3" w:rsidP="00124EB8">
      <w:pPr>
        <w:pStyle w:val="Testonotaapidipagina"/>
        <w:ind w:firstLine="708"/>
        <w:jc w:val="both"/>
        <w:rPr>
          <w:rFonts w:ascii="Times New Roman" w:hAnsi="Times New Roman" w:cs="Times New Roman"/>
        </w:rPr>
      </w:pPr>
      <w:r w:rsidRPr="00124EB8">
        <w:rPr>
          <w:rStyle w:val="Rimandonotaapidipagina"/>
          <w:rFonts w:ascii="Times New Roman" w:hAnsi="Times New Roman" w:cs="Times New Roman"/>
        </w:rPr>
        <w:footnoteRef/>
      </w:r>
      <w:r w:rsidRPr="00124EB8">
        <w:rPr>
          <w:rFonts w:ascii="Times New Roman" w:hAnsi="Times New Roman" w:cs="Times New Roman"/>
        </w:rPr>
        <w:t xml:space="preserve"> </w:t>
      </w:r>
      <w:r>
        <w:rPr>
          <w:rFonts w:ascii="Times New Roman" w:hAnsi="Times New Roman" w:cs="Times New Roman"/>
        </w:rPr>
        <w:t xml:space="preserve">In tema A. </w:t>
      </w:r>
      <w:proofErr w:type="spellStart"/>
      <w:r>
        <w:rPr>
          <w:rFonts w:ascii="Times New Roman" w:hAnsi="Times New Roman" w:cs="Times New Roman"/>
        </w:rPr>
        <w:t>Pisapia</w:t>
      </w:r>
      <w:proofErr w:type="spellEnd"/>
      <w:r>
        <w:rPr>
          <w:rFonts w:ascii="Times New Roman" w:hAnsi="Times New Roman" w:cs="Times New Roman"/>
        </w:rPr>
        <w:t xml:space="preserve">, </w:t>
      </w:r>
      <w:r>
        <w:rPr>
          <w:rFonts w:ascii="Times New Roman" w:hAnsi="Times New Roman" w:cs="Times New Roman"/>
          <w:i/>
        </w:rPr>
        <w:t>La protezione europea garantita alle vittime della violenza domestica</w:t>
      </w:r>
      <w:r>
        <w:rPr>
          <w:rFonts w:ascii="Times New Roman" w:hAnsi="Times New Roman" w:cs="Times New Roman"/>
        </w:rPr>
        <w:t xml:space="preserve">, in </w:t>
      </w:r>
      <w:r>
        <w:rPr>
          <w:rFonts w:ascii="Times New Roman" w:hAnsi="Times New Roman" w:cs="Times New Roman"/>
          <w:i/>
        </w:rPr>
        <w:t xml:space="preserve">Cass. </w:t>
      </w:r>
      <w:proofErr w:type="spellStart"/>
      <w:r>
        <w:rPr>
          <w:rFonts w:ascii="Times New Roman" w:hAnsi="Times New Roman" w:cs="Times New Roman"/>
          <w:i/>
        </w:rPr>
        <w:t>pen</w:t>
      </w:r>
      <w:proofErr w:type="spellEnd"/>
      <w:r>
        <w:rPr>
          <w:rFonts w:ascii="Times New Roman" w:hAnsi="Times New Roman" w:cs="Times New Roman"/>
          <w:i/>
        </w:rPr>
        <w:t>.</w:t>
      </w:r>
      <w:r>
        <w:rPr>
          <w:rFonts w:ascii="Times New Roman" w:hAnsi="Times New Roman" w:cs="Times New Roman"/>
        </w:rPr>
        <w:t>, 2014, pp. 1872-1873.</w:t>
      </w:r>
    </w:p>
  </w:footnote>
  <w:footnote w:id="5">
    <w:p w:rsidR="000F29E3" w:rsidRPr="009B4E89" w:rsidRDefault="000F29E3" w:rsidP="00124EB8">
      <w:pPr>
        <w:pStyle w:val="Testonotaapidipagina"/>
        <w:jc w:val="both"/>
        <w:rPr>
          <w:rFonts w:ascii="Times New Roman" w:hAnsi="Times New Roman" w:cs="Times New Roman"/>
        </w:rPr>
      </w:pPr>
      <w:r>
        <w:rPr>
          <w:rFonts w:ascii="Times New Roman" w:hAnsi="Times New Roman" w:cs="Times New Roman"/>
        </w:rPr>
        <w:tab/>
      </w:r>
      <w:r w:rsidRPr="009B4E89">
        <w:rPr>
          <w:rStyle w:val="Rimandonotaapidipagina"/>
          <w:rFonts w:ascii="Times New Roman" w:hAnsi="Times New Roman" w:cs="Times New Roman"/>
        </w:rPr>
        <w:footnoteRef/>
      </w:r>
      <w:r w:rsidRPr="009B4E89">
        <w:rPr>
          <w:rFonts w:ascii="Times New Roman" w:hAnsi="Times New Roman" w:cs="Times New Roman"/>
        </w:rPr>
        <w:t xml:space="preserve"> </w:t>
      </w:r>
      <w:r>
        <w:rPr>
          <w:rFonts w:ascii="Times New Roman" w:hAnsi="Times New Roman" w:cs="Times New Roman"/>
        </w:rPr>
        <w:t xml:space="preserve">Così, L. </w:t>
      </w:r>
      <w:proofErr w:type="spellStart"/>
      <w:r>
        <w:rPr>
          <w:rFonts w:ascii="Times New Roman" w:hAnsi="Times New Roman" w:cs="Times New Roman"/>
        </w:rPr>
        <w:t>Ciaroni</w:t>
      </w:r>
      <w:proofErr w:type="spellEnd"/>
      <w:r>
        <w:rPr>
          <w:rFonts w:ascii="Times New Roman" w:hAnsi="Times New Roman" w:cs="Times New Roman"/>
        </w:rPr>
        <w:t xml:space="preserve">, </w:t>
      </w:r>
      <w:r>
        <w:rPr>
          <w:rFonts w:ascii="Times New Roman" w:hAnsi="Times New Roman" w:cs="Times New Roman"/>
          <w:i/>
        </w:rPr>
        <w:t>Le forme di tutela contro la violenza domestica</w:t>
      </w:r>
      <w:r>
        <w:rPr>
          <w:rFonts w:ascii="Times New Roman" w:hAnsi="Times New Roman" w:cs="Times New Roman"/>
        </w:rPr>
        <w:t xml:space="preserve">, in </w:t>
      </w:r>
      <w:proofErr w:type="spellStart"/>
      <w:r>
        <w:rPr>
          <w:rFonts w:ascii="Times New Roman" w:hAnsi="Times New Roman" w:cs="Times New Roman"/>
          <w:i/>
        </w:rPr>
        <w:t>Giur</w:t>
      </w:r>
      <w:proofErr w:type="spellEnd"/>
      <w:r>
        <w:rPr>
          <w:rFonts w:ascii="Times New Roman" w:hAnsi="Times New Roman" w:cs="Times New Roman"/>
          <w:i/>
        </w:rPr>
        <w:t>. merito</w:t>
      </w:r>
      <w:r>
        <w:rPr>
          <w:rFonts w:ascii="Times New Roman" w:hAnsi="Times New Roman" w:cs="Times New Roman"/>
        </w:rPr>
        <w:t xml:space="preserve">, 2006, p. 1851. L'Autore fornisce un breve </w:t>
      </w:r>
      <w:r>
        <w:rPr>
          <w:rFonts w:ascii="Times New Roman" w:hAnsi="Times New Roman" w:cs="Times New Roman"/>
          <w:i/>
        </w:rPr>
        <w:t xml:space="preserve">excursus </w:t>
      </w:r>
      <w:r>
        <w:rPr>
          <w:rFonts w:ascii="Times New Roman" w:hAnsi="Times New Roman" w:cs="Times New Roman"/>
        </w:rPr>
        <w:t>storico, partendo da Cass. civ., sez. I, 24 febbraio 1981, n. 1115 che descrive come «</w:t>
      </w:r>
      <w:r w:rsidRPr="00EE0067">
        <w:rPr>
          <w:rFonts w:ascii="Times New Roman" w:hAnsi="Times New Roman" w:cs="Times New Roman"/>
        </w:rPr>
        <w:t>potenzialmente pregiudizievole per il minore</w:t>
      </w:r>
      <w:r>
        <w:rPr>
          <w:rFonts w:ascii="Times New Roman" w:hAnsi="Times New Roman" w:cs="Times New Roman"/>
        </w:rPr>
        <w:t xml:space="preserve">» la condotta del padre che impedisce al figlio di frequentare i congiunti della madre defunta. </w:t>
      </w:r>
    </w:p>
  </w:footnote>
  <w:footnote w:id="6">
    <w:p w:rsidR="000F29E3" w:rsidRPr="00550411" w:rsidRDefault="000F29E3" w:rsidP="00124EB8">
      <w:pPr>
        <w:pStyle w:val="Testonotaapidipagina"/>
        <w:jc w:val="both"/>
        <w:rPr>
          <w:rFonts w:ascii="Times New Roman" w:hAnsi="Times New Roman" w:cs="Times New Roman"/>
        </w:rPr>
      </w:pPr>
      <w:r>
        <w:rPr>
          <w:rFonts w:ascii="Times New Roman" w:hAnsi="Times New Roman" w:cs="Times New Roman"/>
        </w:rPr>
        <w:tab/>
      </w:r>
      <w:r w:rsidRPr="007A4752">
        <w:rPr>
          <w:rStyle w:val="Rimandonotaapidipagina"/>
          <w:rFonts w:ascii="Times New Roman" w:hAnsi="Times New Roman" w:cs="Times New Roman"/>
        </w:rPr>
        <w:footnoteRef/>
      </w:r>
      <w:r w:rsidRPr="007A4752">
        <w:rPr>
          <w:rFonts w:ascii="Times New Roman" w:hAnsi="Times New Roman" w:cs="Times New Roman"/>
        </w:rPr>
        <w:t xml:space="preserve"> </w:t>
      </w:r>
      <w:r>
        <w:rPr>
          <w:rFonts w:ascii="Times New Roman" w:hAnsi="Times New Roman" w:cs="Times New Roman"/>
        </w:rPr>
        <w:t xml:space="preserve">P. Cenci, </w:t>
      </w:r>
      <w:r>
        <w:rPr>
          <w:rFonts w:ascii="Times New Roman" w:hAnsi="Times New Roman" w:cs="Times New Roman"/>
          <w:i/>
        </w:rPr>
        <w:t xml:space="preserve">Ancora in tema di elemento oggettivo del delitto di maltrattamenti in famiglia, con particolare riferimento ai coniugi, agli ex coniugi e ai </w:t>
      </w:r>
      <w:proofErr w:type="spellStart"/>
      <w:r>
        <w:rPr>
          <w:rFonts w:ascii="Times New Roman" w:hAnsi="Times New Roman" w:cs="Times New Roman"/>
          <w:i/>
        </w:rPr>
        <w:t>partners</w:t>
      </w:r>
      <w:proofErr w:type="spellEnd"/>
      <w:r>
        <w:rPr>
          <w:rFonts w:ascii="Times New Roman" w:hAnsi="Times New Roman" w:cs="Times New Roman"/>
          <w:i/>
        </w:rPr>
        <w:t xml:space="preserve"> in un rapporto di fatto</w:t>
      </w:r>
      <w:r>
        <w:rPr>
          <w:rFonts w:ascii="Times New Roman" w:hAnsi="Times New Roman" w:cs="Times New Roman"/>
        </w:rPr>
        <w:t xml:space="preserve">, in </w:t>
      </w:r>
      <w:r>
        <w:rPr>
          <w:rFonts w:ascii="Times New Roman" w:hAnsi="Times New Roman" w:cs="Times New Roman"/>
          <w:i/>
        </w:rPr>
        <w:t>Dir. famiglia</w:t>
      </w:r>
      <w:r>
        <w:rPr>
          <w:rFonts w:ascii="Times New Roman" w:hAnsi="Times New Roman" w:cs="Times New Roman"/>
        </w:rPr>
        <w:t xml:space="preserve">, 1998, p. 158 e, dello stesso Autore, </w:t>
      </w:r>
      <w:r>
        <w:rPr>
          <w:rFonts w:ascii="Times New Roman" w:hAnsi="Times New Roman" w:cs="Times New Roman"/>
          <w:i/>
        </w:rPr>
        <w:t>Il coniuge separato, il divorziato e l'ex convivente possono ritenersi persone di famiglia ai sensi dell'art. 572 c.p.?</w:t>
      </w:r>
      <w:r>
        <w:rPr>
          <w:rFonts w:ascii="Times New Roman" w:hAnsi="Times New Roman" w:cs="Times New Roman"/>
        </w:rPr>
        <w:t xml:space="preserve">, in </w:t>
      </w:r>
      <w:r>
        <w:rPr>
          <w:rFonts w:ascii="Times New Roman" w:hAnsi="Times New Roman" w:cs="Times New Roman"/>
          <w:i/>
        </w:rPr>
        <w:t>Dir. famiglia</w:t>
      </w:r>
      <w:r>
        <w:rPr>
          <w:rFonts w:ascii="Times New Roman" w:hAnsi="Times New Roman" w:cs="Times New Roman"/>
        </w:rPr>
        <w:t>, 1997, p. 650 ss.</w:t>
      </w:r>
    </w:p>
  </w:footnote>
  <w:footnote w:id="7">
    <w:p w:rsidR="000F29E3" w:rsidRPr="005E7F0B" w:rsidRDefault="000F29E3" w:rsidP="005D30BB">
      <w:pPr>
        <w:pStyle w:val="Testonotaapidipagina"/>
        <w:jc w:val="both"/>
        <w:rPr>
          <w:rFonts w:ascii="Times New Roman" w:hAnsi="Times New Roman" w:cs="Times New Roman"/>
        </w:rPr>
      </w:pPr>
      <w:r>
        <w:rPr>
          <w:rFonts w:ascii="Times New Roman" w:hAnsi="Times New Roman" w:cs="Times New Roman"/>
        </w:rPr>
        <w:tab/>
      </w:r>
      <w:r w:rsidRPr="005E7F0B">
        <w:rPr>
          <w:rStyle w:val="Rimandonotaapidipagina"/>
          <w:rFonts w:ascii="Times New Roman" w:hAnsi="Times New Roman" w:cs="Times New Roman"/>
        </w:rPr>
        <w:footnoteRef/>
      </w:r>
      <w:r w:rsidRPr="005E7F0B">
        <w:rPr>
          <w:rFonts w:ascii="Times New Roman" w:hAnsi="Times New Roman" w:cs="Times New Roman"/>
        </w:rPr>
        <w:t xml:space="preserve"> </w:t>
      </w:r>
      <w:r>
        <w:rPr>
          <w:rFonts w:ascii="Times New Roman" w:hAnsi="Times New Roman" w:cs="Times New Roman"/>
        </w:rPr>
        <w:t xml:space="preserve">Per i profili di diritto costituzionale, v. la bella analisi di A. </w:t>
      </w:r>
      <w:proofErr w:type="spellStart"/>
      <w:r>
        <w:rPr>
          <w:rFonts w:ascii="Times New Roman" w:hAnsi="Times New Roman" w:cs="Times New Roman"/>
        </w:rPr>
        <w:t>Sorgato</w:t>
      </w:r>
      <w:proofErr w:type="spellEnd"/>
      <w:r>
        <w:rPr>
          <w:rFonts w:ascii="Times New Roman" w:hAnsi="Times New Roman" w:cs="Times New Roman"/>
        </w:rPr>
        <w:t xml:space="preserve">, </w:t>
      </w:r>
      <w:r>
        <w:rPr>
          <w:rFonts w:ascii="Times New Roman" w:hAnsi="Times New Roman" w:cs="Times New Roman"/>
          <w:i/>
        </w:rPr>
        <w:t xml:space="preserve">Reati </w:t>
      </w:r>
      <w:proofErr w:type="spellStart"/>
      <w:r>
        <w:rPr>
          <w:rFonts w:ascii="Times New Roman" w:hAnsi="Times New Roman" w:cs="Times New Roman"/>
          <w:i/>
        </w:rPr>
        <w:t>endofamiliari</w:t>
      </w:r>
      <w:proofErr w:type="spellEnd"/>
      <w:r>
        <w:rPr>
          <w:rFonts w:ascii="Times New Roman" w:hAnsi="Times New Roman" w:cs="Times New Roman"/>
          <w:i/>
        </w:rPr>
        <w:t xml:space="preserve"> e contro i soggetti deboli</w:t>
      </w:r>
      <w:r>
        <w:rPr>
          <w:rFonts w:ascii="Times New Roman" w:hAnsi="Times New Roman" w:cs="Times New Roman"/>
        </w:rPr>
        <w:t>, Torino, 2014, p. 3 ss.</w:t>
      </w:r>
    </w:p>
  </w:footnote>
  <w:footnote w:id="8">
    <w:p w:rsidR="000F29E3" w:rsidRPr="000E141B" w:rsidRDefault="000F29E3" w:rsidP="005D30BB">
      <w:pPr>
        <w:pStyle w:val="Testonotaapidipagina"/>
        <w:jc w:val="both"/>
        <w:rPr>
          <w:rFonts w:ascii="Times New Roman" w:hAnsi="Times New Roman" w:cs="Times New Roman"/>
        </w:rPr>
      </w:pPr>
      <w:r>
        <w:rPr>
          <w:rFonts w:ascii="Times New Roman" w:hAnsi="Times New Roman" w:cs="Times New Roman"/>
        </w:rPr>
        <w:tab/>
      </w:r>
      <w:r w:rsidRPr="00FA13C4">
        <w:rPr>
          <w:rStyle w:val="Rimandonotaapidipagina"/>
          <w:rFonts w:ascii="Times New Roman" w:hAnsi="Times New Roman" w:cs="Times New Roman"/>
        </w:rPr>
        <w:footnoteRef/>
      </w:r>
      <w:r w:rsidRPr="00FA13C4">
        <w:rPr>
          <w:rFonts w:ascii="Times New Roman" w:hAnsi="Times New Roman" w:cs="Times New Roman"/>
        </w:rPr>
        <w:t xml:space="preserve"> </w:t>
      </w:r>
      <w:r>
        <w:rPr>
          <w:rFonts w:ascii="Times New Roman" w:hAnsi="Times New Roman" w:cs="Times New Roman"/>
        </w:rPr>
        <w:t xml:space="preserve">Come ricorda L. </w:t>
      </w:r>
      <w:proofErr w:type="spellStart"/>
      <w:r>
        <w:rPr>
          <w:rFonts w:ascii="Times New Roman" w:hAnsi="Times New Roman" w:cs="Times New Roman"/>
        </w:rPr>
        <w:t>Pistorelli</w:t>
      </w:r>
      <w:proofErr w:type="spellEnd"/>
      <w:r>
        <w:rPr>
          <w:rFonts w:ascii="Times New Roman" w:hAnsi="Times New Roman" w:cs="Times New Roman"/>
        </w:rPr>
        <w:t xml:space="preserve">, </w:t>
      </w:r>
      <w:r>
        <w:rPr>
          <w:rFonts w:ascii="Times New Roman" w:hAnsi="Times New Roman" w:cs="Times New Roman"/>
          <w:i/>
        </w:rPr>
        <w:t>Misure contro la violenza nelle relazioni familiari:</w:t>
      </w:r>
      <w:r w:rsidRPr="00FA13C4">
        <w:rPr>
          <w:rFonts w:ascii="Times New Roman" w:hAnsi="Times New Roman" w:cs="Times New Roman"/>
          <w:i/>
        </w:rPr>
        <w:t xml:space="preserve"> allontanamento dalla casa familiare; pagamento di un assegno, </w:t>
      </w:r>
      <w:r>
        <w:rPr>
          <w:rFonts w:ascii="Times New Roman" w:hAnsi="Times New Roman" w:cs="Times New Roman"/>
        </w:rPr>
        <w:t xml:space="preserve">in P. </w:t>
      </w:r>
      <w:proofErr w:type="spellStart"/>
      <w:r>
        <w:rPr>
          <w:rFonts w:ascii="Times New Roman" w:hAnsi="Times New Roman" w:cs="Times New Roman"/>
        </w:rPr>
        <w:t>Zatti</w:t>
      </w:r>
      <w:proofErr w:type="spellEnd"/>
      <w:r>
        <w:rPr>
          <w:rFonts w:ascii="Times New Roman" w:hAnsi="Times New Roman" w:cs="Times New Roman"/>
        </w:rPr>
        <w:t xml:space="preserve"> (diretto da),</w:t>
      </w:r>
      <w:r w:rsidRPr="00FA13C4">
        <w:rPr>
          <w:rFonts w:ascii="Times New Roman" w:hAnsi="Times New Roman" w:cs="Times New Roman"/>
          <w:i/>
        </w:rPr>
        <w:t xml:space="preserve"> Trattato di diritto di famiglia, </w:t>
      </w:r>
      <w:r>
        <w:rPr>
          <w:rFonts w:ascii="Times New Roman" w:hAnsi="Times New Roman" w:cs="Times New Roman"/>
        </w:rPr>
        <w:t xml:space="preserve">vol. </w:t>
      </w:r>
      <w:r w:rsidRPr="00FA13C4">
        <w:rPr>
          <w:rFonts w:ascii="Times New Roman" w:hAnsi="Times New Roman" w:cs="Times New Roman"/>
        </w:rPr>
        <w:t>IV,</w:t>
      </w:r>
      <w:r w:rsidRPr="00FA13C4">
        <w:rPr>
          <w:rFonts w:ascii="Times New Roman" w:hAnsi="Times New Roman" w:cs="Times New Roman"/>
          <w:i/>
        </w:rPr>
        <w:t xml:space="preserve"> Diritto penale della famiglia, </w:t>
      </w:r>
      <w:r w:rsidRPr="000E141B">
        <w:rPr>
          <w:rFonts w:ascii="Times New Roman" w:hAnsi="Times New Roman" w:cs="Times New Roman"/>
        </w:rPr>
        <w:t xml:space="preserve">a cura di S. </w:t>
      </w:r>
      <w:proofErr w:type="spellStart"/>
      <w:r w:rsidRPr="000E141B">
        <w:rPr>
          <w:rFonts w:ascii="Times New Roman" w:hAnsi="Times New Roman" w:cs="Times New Roman"/>
        </w:rPr>
        <w:t>Riondato</w:t>
      </w:r>
      <w:proofErr w:type="spellEnd"/>
      <w:r>
        <w:rPr>
          <w:rFonts w:ascii="Times New Roman" w:hAnsi="Times New Roman" w:cs="Times New Roman"/>
        </w:rPr>
        <w:t>,</w:t>
      </w:r>
      <w:r w:rsidRPr="00FA13C4">
        <w:rPr>
          <w:rFonts w:ascii="Times New Roman" w:hAnsi="Times New Roman" w:cs="Times New Roman"/>
          <w:i/>
        </w:rPr>
        <w:t xml:space="preserve"> </w:t>
      </w:r>
      <w:r w:rsidRPr="000E141B">
        <w:rPr>
          <w:rFonts w:ascii="Times New Roman" w:hAnsi="Times New Roman" w:cs="Times New Roman"/>
        </w:rPr>
        <w:t>Milano, 2002, p.</w:t>
      </w:r>
      <w:r>
        <w:rPr>
          <w:rFonts w:ascii="Times New Roman" w:hAnsi="Times New Roman" w:cs="Times New Roman"/>
        </w:rPr>
        <w:t xml:space="preserve"> 90.</w:t>
      </w:r>
    </w:p>
  </w:footnote>
  <w:footnote w:id="9">
    <w:p w:rsidR="000F29E3" w:rsidRPr="000E141B" w:rsidRDefault="000F29E3" w:rsidP="005D30BB">
      <w:pPr>
        <w:pStyle w:val="Testonotaapidipagina"/>
        <w:jc w:val="both"/>
        <w:rPr>
          <w:rFonts w:ascii="Times New Roman" w:hAnsi="Times New Roman" w:cs="Times New Roman"/>
        </w:rPr>
      </w:pPr>
      <w:r>
        <w:rPr>
          <w:rFonts w:ascii="Times New Roman" w:hAnsi="Times New Roman" w:cs="Times New Roman"/>
        </w:rPr>
        <w:tab/>
      </w:r>
      <w:r w:rsidRPr="000E141B">
        <w:rPr>
          <w:rStyle w:val="Rimandonotaapidipagina"/>
          <w:rFonts w:ascii="Times New Roman" w:hAnsi="Times New Roman" w:cs="Times New Roman"/>
        </w:rPr>
        <w:footnoteRef/>
      </w:r>
      <w:r w:rsidRPr="000E141B">
        <w:rPr>
          <w:rFonts w:ascii="Times New Roman" w:hAnsi="Times New Roman" w:cs="Times New Roman"/>
        </w:rPr>
        <w:t xml:space="preserve"> </w:t>
      </w:r>
      <w:r>
        <w:rPr>
          <w:rFonts w:ascii="Times New Roman" w:hAnsi="Times New Roman" w:cs="Times New Roman"/>
        </w:rPr>
        <w:t xml:space="preserve">Utile in tema C. </w:t>
      </w:r>
      <w:proofErr w:type="spellStart"/>
      <w:r>
        <w:rPr>
          <w:rFonts w:ascii="Times New Roman" w:hAnsi="Times New Roman" w:cs="Times New Roman"/>
        </w:rPr>
        <w:t>eur</w:t>
      </w:r>
      <w:proofErr w:type="spellEnd"/>
      <w:r>
        <w:rPr>
          <w:rFonts w:ascii="Times New Roman" w:hAnsi="Times New Roman" w:cs="Times New Roman"/>
        </w:rPr>
        <w:t>. dir. uomo</w:t>
      </w:r>
      <w:r w:rsidRPr="000E141B">
        <w:rPr>
          <w:rFonts w:ascii="Times New Roman" w:hAnsi="Times New Roman" w:cs="Times New Roman"/>
        </w:rPr>
        <w:t xml:space="preserve">, 3 dicembre 2009, </w:t>
      </w:r>
      <w:proofErr w:type="spellStart"/>
      <w:r w:rsidRPr="000E141B">
        <w:rPr>
          <w:rFonts w:ascii="Times New Roman" w:hAnsi="Times New Roman" w:cs="Times New Roman"/>
          <w:i/>
        </w:rPr>
        <w:t>Zaunegger</w:t>
      </w:r>
      <w:proofErr w:type="spellEnd"/>
      <w:r w:rsidRPr="000E141B">
        <w:rPr>
          <w:rFonts w:ascii="Times New Roman" w:hAnsi="Times New Roman" w:cs="Times New Roman"/>
          <w:i/>
        </w:rPr>
        <w:t xml:space="preserve"> c. Germania</w:t>
      </w:r>
      <w:r w:rsidRPr="000E141B">
        <w:rPr>
          <w:rFonts w:ascii="Times New Roman" w:hAnsi="Times New Roman" w:cs="Times New Roman"/>
        </w:rPr>
        <w:t>, ric. n. 22028/04</w:t>
      </w:r>
      <w:r>
        <w:rPr>
          <w:rFonts w:ascii="Times New Roman" w:hAnsi="Times New Roman" w:cs="Times New Roman"/>
        </w:rPr>
        <w:t xml:space="preserve">, §26. In tema, </w:t>
      </w:r>
      <w:proofErr w:type="spellStart"/>
      <w:r>
        <w:rPr>
          <w:rFonts w:ascii="Times New Roman" w:hAnsi="Times New Roman" w:cs="Times New Roman"/>
        </w:rPr>
        <w:t>M.G.</w:t>
      </w:r>
      <w:proofErr w:type="spellEnd"/>
      <w:r>
        <w:rPr>
          <w:rFonts w:ascii="Times New Roman" w:hAnsi="Times New Roman" w:cs="Times New Roman"/>
        </w:rPr>
        <w:t xml:space="preserve"> </w:t>
      </w:r>
      <w:proofErr w:type="spellStart"/>
      <w:r w:rsidRPr="000E141B">
        <w:rPr>
          <w:rFonts w:ascii="Times New Roman" w:hAnsi="Times New Roman" w:cs="Times New Roman"/>
        </w:rPr>
        <w:t>Ruo</w:t>
      </w:r>
      <w:proofErr w:type="spellEnd"/>
      <w:r w:rsidRPr="000E141B">
        <w:rPr>
          <w:rFonts w:ascii="Times New Roman" w:hAnsi="Times New Roman" w:cs="Times New Roman"/>
        </w:rPr>
        <w:t xml:space="preserve">, </w:t>
      </w:r>
      <w:r w:rsidRPr="000E141B">
        <w:rPr>
          <w:rFonts w:ascii="Times New Roman" w:hAnsi="Times New Roman" w:cs="Times New Roman"/>
          <w:i/>
        </w:rPr>
        <w:t xml:space="preserve">The best interest </w:t>
      </w:r>
      <w:proofErr w:type="spellStart"/>
      <w:r w:rsidRPr="000E141B">
        <w:rPr>
          <w:rFonts w:ascii="Times New Roman" w:hAnsi="Times New Roman" w:cs="Times New Roman"/>
          <w:i/>
        </w:rPr>
        <w:t>of</w:t>
      </w:r>
      <w:proofErr w:type="spellEnd"/>
      <w:r w:rsidRPr="000E141B">
        <w:rPr>
          <w:rFonts w:ascii="Times New Roman" w:hAnsi="Times New Roman" w:cs="Times New Roman"/>
          <w:i/>
        </w:rPr>
        <w:t xml:space="preserve"> the </w:t>
      </w:r>
      <w:proofErr w:type="spellStart"/>
      <w:r w:rsidRPr="000E141B">
        <w:rPr>
          <w:rFonts w:ascii="Times New Roman" w:hAnsi="Times New Roman" w:cs="Times New Roman"/>
          <w:i/>
        </w:rPr>
        <w:t>child</w:t>
      </w:r>
      <w:proofErr w:type="spellEnd"/>
      <w:r w:rsidRPr="000E141B">
        <w:rPr>
          <w:rFonts w:ascii="Times New Roman" w:hAnsi="Times New Roman" w:cs="Times New Roman"/>
          <w:i/>
        </w:rPr>
        <w:t xml:space="preserve"> nella giurisprudenza della Corte europea dei diritti dell'uomo</w:t>
      </w:r>
      <w:r w:rsidRPr="000E141B">
        <w:rPr>
          <w:rFonts w:ascii="Times New Roman" w:hAnsi="Times New Roman" w:cs="Times New Roman"/>
        </w:rPr>
        <w:t xml:space="preserve">, in </w:t>
      </w:r>
      <w:proofErr w:type="spellStart"/>
      <w:r w:rsidRPr="000E141B">
        <w:rPr>
          <w:rFonts w:ascii="Times New Roman" w:hAnsi="Times New Roman" w:cs="Times New Roman"/>
          <w:i/>
        </w:rPr>
        <w:t>Minorigiustizia</w:t>
      </w:r>
      <w:proofErr w:type="spellEnd"/>
      <w:r w:rsidRPr="000E141B">
        <w:rPr>
          <w:rFonts w:ascii="Times New Roman" w:hAnsi="Times New Roman" w:cs="Times New Roman"/>
        </w:rPr>
        <w:t>, 2011, n. 3, p. 39 ss.</w:t>
      </w:r>
      <w:r>
        <w:rPr>
          <w:rFonts w:ascii="Times New Roman" w:hAnsi="Times New Roman" w:cs="Times New Roman"/>
        </w:rPr>
        <w:t>.</w:t>
      </w:r>
    </w:p>
  </w:footnote>
  <w:footnote w:id="10">
    <w:p w:rsidR="000F29E3" w:rsidRPr="002B6770" w:rsidRDefault="000F29E3" w:rsidP="002B6770">
      <w:pPr>
        <w:pStyle w:val="Testonotaapidipagina"/>
        <w:jc w:val="both"/>
        <w:rPr>
          <w:rFonts w:ascii="Times New Roman" w:hAnsi="Times New Roman" w:cs="Times New Roman"/>
        </w:rPr>
      </w:pPr>
      <w:r>
        <w:rPr>
          <w:rFonts w:ascii="Times New Roman" w:hAnsi="Times New Roman" w:cs="Times New Roman"/>
        </w:rPr>
        <w:tab/>
      </w:r>
      <w:r w:rsidRPr="002B6770">
        <w:rPr>
          <w:rStyle w:val="Rimandonotaapidipagina"/>
          <w:rFonts w:ascii="Times New Roman" w:hAnsi="Times New Roman" w:cs="Times New Roman"/>
        </w:rPr>
        <w:footnoteRef/>
      </w:r>
      <w:r w:rsidRPr="002B6770">
        <w:rPr>
          <w:rFonts w:ascii="Times New Roman" w:hAnsi="Times New Roman" w:cs="Times New Roman"/>
        </w:rPr>
        <w:t xml:space="preserve"> </w:t>
      </w:r>
      <w:r>
        <w:rPr>
          <w:rFonts w:ascii="Times New Roman" w:hAnsi="Times New Roman" w:cs="Times New Roman"/>
        </w:rPr>
        <w:t xml:space="preserve">v. </w:t>
      </w:r>
      <w:proofErr w:type="spellStart"/>
      <w:r>
        <w:rPr>
          <w:rFonts w:ascii="Times New Roman" w:hAnsi="Times New Roman" w:cs="Times New Roman"/>
          <w:i/>
        </w:rPr>
        <w:t>infra</w:t>
      </w:r>
      <w:proofErr w:type="spellEnd"/>
      <w:r>
        <w:rPr>
          <w:rFonts w:ascii="Times New Roman" w:hAnsi="Times New Roman" w:cs="Times New Roman"/>
        </w:rPr>
        <w:t>, §3.</w:t>
      </w:r>
    </w:p>
  </w:footnote>
  <w:footnote w:id="11">
    <w:p w:rsidR="000F29E3" w:rsidRPr="002B6770" w:rsidRDefault="000F29E3" w:rsidP="002B6770">
      <w:pPr>
        <w:pStyle w:val="Testonotaapidipagina"/>
        <w:jc w:val="both"/>
        <w:rPr>
          <w:rFonts w:ascii="Times New Roman" w:hAnsi="Times New Roman" w:cs="Times New Roman"/>
        </w:rPr>
      </w:pPr>
      <w:r>
        <w:rPr>
          <w:rFonts w:ascii="Times New Roman" w:hAnsi="Times New Roman" w:cs="Times New Roman"/>
        </w:rPr>
        <w:tab/>
      </w:r>
      <w:r w:rsidRPr="002B6770">
        <w:rPr>
          <w:rStyle w:val="Rimandonotaapidipagina"/>
          <w:rFonts w:ascii="Times New Roman" w:hAnsi="Times New Roman" w:cs="Times New Roman"/>
        </w:rPr>
        <w:footnoteRef/>
      </w:r>
      <w:r w:rsidRPr="002B6770">
        <w:rPr>
          <w:rFonts w:ascii="Times New Roman" w:hAnsi="Times New Roman" w:cs="Times New Roman"/>
        </w:rPr>
        <w:t xml:space="preserve"> </w:t>
      </w:r>
      <w:r>
        <w:rPr>
          <w:rFonts w:ascii="Times New Roman" w:hAnsi="Times New Roman" w:cs="Times New Roman"/>
        </w:rPr>
        <w:t xml:space="preserve">v. </w:t>
      </w:r>
      <w:proofErr w:type="spellStart"/>
      <w:r>
        <w:rPr>
          <w:rFonts w:ascii="Times New Roman" w:hAnsi="Times New Roman" w:cs="Times New Roman"/>
          <w:i/>
        </w:rPr>
        <w:t>infra</w:t>
      </w:r>
      <w:proofErr w:type="spellEnd"/>
      <w:r>
        <w:rPr>
          <w:rFonts w:ascii="Times New Roman" w:hAnsi="Times New Roman" w:cs="Times New Roman"/>
        </w:rPr>
        <w:t>, §4.</w:t>
      </w:r>
    </w:p>
  </w:footnote>
  <w:footnote w:id="12">
    <w:p w:rsidR="000F29E3" w:rsidRPr="002B6770" w:rsidRDefault="000F29E3" w:rsidP="002B6770">
      <w:pPr>
        <w:pStyle w:val="Testonotaapidipagina"/>
        <w:jc w:val="both"/>
        <w:rPr>
          <w:rFonts w:ascii="Times New Roman" w:hAnsi="Times New Roman" w:cs="Times New Roman"/>
        </w:rPr>
      </w:pPr>
      <w:r>
        <w:rPr>
          <w:rFonts w:ascii="Times New Roman" w:hAnsi="Times New Roman" w:cs="Times New Roman"/>
        </w:rPr>
        <w:tab/>
      </w:r>
      <w:r w:rsidRPr="002B6770">
        <w:rPr>
          <w:rStyle w:val="Rimandonotaapidipagina"/>
          <w:rFonts w:ascii="Times New Roman" w:hAnsi="Times New Roman" w:cs="Times New Roman"/>
        </w:rPr>
        <w:footnoteRef/>
      </w:r>
      <w:r w:rsidRPr="002B6770">
        <w:rPr>
          <w:rFonts w:ascii="Times New Roman" w:hAnsi="Times New Roman" w:cs="Times New Roman"/>
        </w:rPr>
        <w:t xml:space="preserve"> </w:t>
      </w:r>
      <w:r>
        <w:rPr>
          <w:rFonts w:ascii="Times New Roman" w:hAnsi="Times New Roman" w:cs="Times New Roman"/>
        </w:rPr>
        <w:t xml:space="preserve">v. </w:t>
      </w:r>
      <w:proofErr w:type="spellStart"/>
      <w:r>
        <w:rPr>
          <w:rFonts w:ascii="Times New Roman" w:hAnsi="Times New Roman" w:cs="Times New Roman"/>
          <w:i/>
        </w:rPr>
        <w:t>infra</w:t>
      </w:r>
      <w:proofErr w:type="spellEnd"/>
      <w:r>
        <w:rPr>
          <w:rFonts w:ascii="Times New Roman" w:hAnsi="Times New Roman" w:cs="Times New Roman"/>
        </w:rPr>
        <w:t>, §5.</w:t>
      </w:r>
    </w:p>
  </w:footnote>
  <w:footnote w:id="13">
    <w:p w:rsidR="000F29E3" w:rsidRPr="000001F8" w:rsidRDefault="000F29E3" w:rsidP="004016BA">
      <w:pPr>
        <w:pStyle w:val="Testonotaapidipagina"/>
        <w:jc w:val="both"/>
        <w:rPr>
          <w:rFonts w:ascii="Times New Roman" w:hAnsi="Times New Roman" w:cs="Times New Roman"/>
        </w:rPr>
      </w:pPr>
      <w:r>
        <w:rPr>
          <w:rFonts w:ascii="Times New Roman" w:hAnsi="Times New Roman" w:cs="Times New Roman"/>
        </w:rPr>
        <w:tab/>
      </w:r>
      <w:r w:rsidRPr="00D36DB1">
        <w:rPr>
          <w:rStyle w:val="Rimandonotaapidipagina"/>
          <w:rFonts w:ascii="Times New Roman" w:hAnsi="Times New Roman" w:cs="Times New Roman"/>
        </w:rPr>
        <w:footnoteRef/>
      </w:r>
      <w:r w:rsidRPr="00D36DB1">
        <w:rPr>
          <w:rFonts w:ascii="Times New Roman" w:hAnsi="Times New Roman" w:cs="Times New Roman"/>
        </w:rPr>
        <w:t xml:space="preserve"> </w:t>
      </w:r>
      <w:r>
        <w:rPr>
          <w:rFonts w:ascii="Times New Roman" w:hAnsi="Times New Roman" w:cs="Times New Roman"/>
        </w:rPr>
        <w:t xml:space="preserve">Cass., sez. </w:t>
      </w:r>
      <w:proofErr w:type="spellStart"/>
      <w:r>
        <w:rPr>
          <w:rFonts w:ascii="Times New Roman" w:hAnsi="Times New Roman" w:cs="Times New Roman"/>
        </w:rPr>
        <w:t>VI</w:t>
      </w:r>
      <w:proofErr w:type="spellEnd"/>
      <w:r>
        <w:rPr>
          <w:rFonts w:ascii="Times New Roman" w:hAnsi="Times New Roman" w:cs="Times New Roman"/>
        </w:rPr>
        <w:t xml:space="preserve">, 12 novembre 2010, n. 43207, con nota di F. </w:t>
      </w:r>
      <w:proofErr w:type="spellStart"/>
      <w:r>
        <w:rPr>
          <w:rFonts w:ascii="Times New Roman" w:hAnsi="Times New Roman" w:cs="Times New Roman"/>
        </w:rPr>
        <w:t>Mandalari</w:t>
      </w:r>
      <w:proofErr w:type="spellEnd"/>
      <w:r>
        <w:rPr>
          <w:rFonts w:ascii="Times New Roman" w:hAnsi="Times New Roman" w:cs="Times New Roman"/>
        </w:rPr>
        <w:t xml:space="preserve">, </w:t>
      </w:r>
      <w:r>
        <w:rPr>
          <w:rFonts w:ascii="Times New Roman" w:hAnsi="Times New Roman" w:cs="Times New Roman"/>
          <w:i/>
        </w:rPr>
        <w:t>La consulenza tecnica del giudizio civile è una prova documentale e non un mezzo di prova, pertanto può essere acquisita nel processo penale anche senza un giudicato</w:t>
      </w:r>
      <w:r>
        <w:rPr>
          <w:rFonts w:ascii="Times New Roman" w:hAnsi="Times New Roman" w:cs="Times New Roman"/>
        </w:rPr>
        <w:t xml:space="preserve">, in </w:t>
      </w:r>
      <w:r>
        <w:rPr>
          <w:rFonts w:ascii="Times New Roman" w:hAnsi="Times New Roman" w:cs="Times New Roman"/>
          <w:i/>
        </w:rPr>
        <w:t xml:space="preserve">Dir. e </w:t>
      </w:r>
      <w:proofErr w:type="spellStart"/>
      <w:r>
        <w:rPr>
          <w:rFonts w:ascii="Times New Roman" w:hAnsi="Times New Roman" w:cs="Times New Roman"/>
          <w:i/>
        </w:rPr>
        <w:t>giust</w:t>
      </w:r>
      <w:proofErr w:type="spellEnd"/>
      <w:r>
        <w:rPr>
          <w:rFonts w:ascii="Times New Roman" w:hAnsi="Times New Roman" w:cs="Times New Roman"/>
          <w:i/>
        </w:rPr>
        <w:t>.</w:t>
      </w:r>
      <w:r>
        <w:rPr>
          <w:rFonts w:ascii="Times New Roman" w:hAnsi="Times New Roman" w:cs="Times New Roman"/>
        </w:rPr>
        <w:t xml:space="preserve">, 2010, p. 543. Sul tema, </w:t>
      </w:r>
      <w:proofErr w:type="spellStart"/>
      <w:r>
        <w:rPr>
          <w:rFonts w:ascii="Times New Roman" w:hAnsi="Times New Roman" w:cs="Times New Roman"/>
          <w:i/>
        </w:rPr>
        <w:t>amplius</w:t>
      </w:r>
      <w:proofErr w:type="spellEnd"/>
      <w:r>
        <w:rPr>
          <w:rFonts w:ascii="Times New Roman" w:hAnsi="Times New Roman" w:cs="Times New Roman"/>
        </w:rPr>
        <w:t xml:space="preserve">, R. Villani, </w:t>
      </w:r>
      <w:r>
        <w:rPr>
          <w:rFonts w:ascii="Times New Roman" w:hAnsi="Times New Roman" w:cs="Times New Roman"/>
          <w:i/>
        </w:rPr>
        <w:t>Il compenso del CTU è dovuto in via solidale da tutte le parti del processo a prescindere dalla soccombenza</w:t>
      </w:r>
      <w:r>
        <w:rPr>
          <w:rFonts w:ascii="Times New Roman" w:hAnsi="Times New Roman" w:cs="Times New Roman"/>
        </w:rPr>
        <w:t xml:space="preserve">, in </w:t>
      </w:r>
      <w:r>
        <w:rPr>
          <w:rFonts w:ascii="Times New Roman" w:hAnsi="Times New Roman" w:cs="Times New Roman"/>
          <w:i/>
        </w:rPr>
        <w:t xml:space="preserve">Dir. e </w:t>
      </w:r>
      <w:proofErr w:type="spellStart"/>
      <w:r>
        <w:rPr>
          <w:rFonts w:ascii="Times New Roman" w:hAnsi="Times New Roman" w:cs="Times New Roman"/>
          <w:i/>
        </w:rPr>
        <w:t>giust</w:t>
      </w:r>
      <w:proofErr w:type="spellEnd"/>
      <w:r>
        <w:rPr>
          <w:rFonts w:ascii="Times New Roman" w:hAnsi="Times New Roman" w:cs="Times New Roman"/>
          <w:i/>
        </w:rPr>
        <w:t>.</w:t>
      </w:r>
      <w:r>
        <w:rPr>
          <w:rFonts w:ascii="Times New Roman" w:hAnsi="Times New Roman" w:cs="Times New Roman"/>
        </w:rPr>
        <w:t xml:space="preserve">, 2015, 41, p. 2 ss.. Per la distinzione tra consulenza come mezzo di prova o come mezzo </w:t>
      </w:r>
      <w:r>
        <w:rPr>
          <w:rFonts w:ascii="Times New Roman" w:hAnsi="Times New Roman" w:cs="Times New Roman"/>
          <w:i/>
        </w:rPr>
        <w:t xml:space="preserve">lato </w:t>
      </w:r>
      <w:proofErr w:type="spellStart"/>
      <w:r>
        <w:rPr>
          <w:rFonts w:ascii="Times New Roman" w:hAnsi="Times New Roman" w:cs="Times New Roman"/>
          <w:i/>
        </w:rPr>
        <w:t>sensu</w:t>
      </w:r>
      <w:proofErr w:type="spellEnd"/>
      <w:r>
        <w:rPr>
          <w:rFonts w:ascii="Times New Roman" w:hAnsi="Times New Roman" w:cs="Times New Roman"/>
        </w:rPr>
        <w:t xml:space="preserve"> istruttorio, G. Zaccaria, </w:t>
      </w:r>
      <w:r>
        <w:rPr>
          <w:rFonts w:ascii="Times New Roman" w:hAnsi="Times New Roman" w:cs="Times New Roman"/>
          <w:i/>
        </w:rPr>
        <w:t>La professionalità del consulente: una scelta del giudice</w:t>
      </w:r>
      <w:r>
        <w:rPr>
          <w:rFonts w:ascii="Times New Roman" w:hAnsi="Times New Roman" w:cs="Times New Roman"/>
        </w:rPr>
        <w:t xml:space="preserve">, in </w:t>
      </w:r>
      <w:proofErr w:type="spellStart"/>
      <w:r>
        <w:rPr>
          <w:rFonts w:ascii="Times New Roman" w:hAnsi="Times New Roman" w:cs="Times New Roman"/>
          <w:i/>
        </w:rPr>
        <w:t>Riv</w:t>
      </w:r>
      <w:proofErr w:type="spellEnd"/>
      <w:r>
        <w:rPr>
          <w:rFonts w:ascii="Times New Roman" w:hAnsi="Times New Roman" w:cs="Times New Roman"/>
          <w:i/>
        </w:rPr>
        <w:t>. trim. dir. proc. civ.</w:t>
      </w:r>
      <w:r>
        <w:rPr>
          <w:rFonts w:ascii="Times New Roman" w:hAnsi="Times New Roman" w:cs="Times New Roman"/>
        </w:rPr>
        <w:t>, 2015, p. 699 ss..</w:t>
      </w:r>
    </w:p>
  </w:footnote>
  <w:footnote w:id="14">
    <w:p w:rsidR="000F29E3" w:rsidRPr="004725F4" w:rsidRDefault="000F29E3" w:rsidP="004016BA">
      <w:pPr>
        <w:pStyle w:val="Testonotaapidipagina"/>
        <w:jc w:val="both"/>
        <w:rPr>
          <w:rFonts w:ascii="Times New Roman" w:hAnsi="Times New Roman" w:cs="Times New Roman"/>
        </w:rPr>
      </w:pPr>
      <w:r>
        <w:rPr>
          <w:rFonts w:ascii="Times New Roman" w:hAnsi="Times New Roman" w:cs="Times New Roman"/>
        </w:rPr>
        <w:tab/>
      </w:r>
      <w:r w:rsidRPr="004725F4">
        <w:rPr>
          <w:rStyle w:val="Rimandonotaapidipagina"/>
          <w:rFonts w:ascii="Times New Roman" w:hAnsi="Times New Roman" w:cs="Times New Roman"/>
        </w:rPr>
        <w:footnoteRef/>
      </w:r>
      <w:r w:rsidRPr="004725F4">
        <w:rPr>
          <w:rFonts w:ascii="Times New Roman" w:hAnsi="Times New Roman" w:cs="Times New Roman"/>
        </w:rPr>
        <w:t xml:space="preserve"> </w:t>
      </w:r>
      <w:r>
        <w:rPr>
          <w:rFonts w:ascii="Times New Roman" w:hAnsi="Times New Roman" w:cs="Times New Roman"/>
        </w:rPr>
        <w:t xml:space="preserve">Cass., sez. V, 19 marzo 2010, n. 22601, in </w:t>
      </w:r>
      <w:r>
        <w:rPr>
          <w:rFonts w:ascii="Times New Roman" w:hAnsi="Times New Roman" w:cs="Times New Roman"/>
          <w:i/>
        </w:rPr>
        <w:t>CED Cass</w:t>
      </w:r>
      <w:r>
        <w:rPr>
          <w:rFonts w:ascii="Times New Roman" w:hAnsi="Times New Roman" w:cs="Times New Roman"/>
        </w:rPr>
        <w:t>., n. 247358.</w:t>
      </w:r>
    </w:p>
  </w:footnote>
  <w:footnote w:id="15">
    <w:p w:rsidR="000F29E3" w:rsidRPr="000507EC" w:rsidRDefault="000F29E3" w:rsidP="004016BA">
      <w:pPr>
        <w:pStyle w:val="Testonotaapidipagina"/>
        <w:jc w:val="both"/>
        <w:rPr>
          <w:rFonts w:ascii="Times New Roman" w:hAnsi="Times New Roman" w:cs="Times New Roman"/>
        </w:rPr>
      </w:pPr>
      <w:r>
        <w:rPr>
          <w:rFonts w:ascii="Times New Roman" w:hAnsi="Times New Roman" w:cs="Times New Roman"/>
        </w:rPr>
        <w:tab/>
      </w:r>
      <w:r w:rsidRPr="000507EC">
        <w:rPr>
          <w:rStyle w:val="Rimandonotaapidipagina"/>
          <w:rFonts w:ascii="Times New Roman" w:hAnsi="Times New Roman" w:cs="Times New Roman"/>
        </w:rPr>
        <w:footnoteRef/>
      </w:r>
      <w:r w:rsidRPr="000507EC">
        <w:rPr>
          <w:rFonts w:ascii="Times New Roman" w:hAnsi="Times New Roman" w:cs="Times New Roman"/>
        </w:rPr>
        <w:t xml:space="preserve"> </w:t>
      </w:r>
      <w:r>
        <w:rPr>
          <w:rFonts w:ascii="Times New Roman" w:hAnsi="Times New Roman" w:cs="Times New Roman"/>
        </w:rPr>
        <w:t xml:space="preserve">Cass. civ., sez. </w:t>
      </w:r>
      <w:proofErr w:type="spellStart"/>
      <w:r>
        <w:rPr>
          <w:rFonts w:ascii="Times New Roman" w:hAnsi="Times New Roman" w:cs="Times New Roman"/>
        </w:rPr>
        <w:t>lav</w:t>
      </w:r>
      <w:proofErr w:type="spellEnd"/>
      <w:r>
        <w:rPr>
          <w:rFonts w:ascii="Times New Roman" w:hAnsi="Times New Roman" w:cs="Times New Roman"/>
        </w:rPr>
        <w:t xml:space="preserve">., 19 agosto 2015, n. 16989, reperibile sul portale </w:t>
      </w:r>
      <w:proofErr w:type="spellStart"/>
      <w:r>
        <w:rPr>
          <w:rFonts w:ascii="Times New Roman" w:hAnsi="Times New Roman" w:cs="Times New Roman"/>
          <w:i/>
        </w:rPr>
        <w:t>Dejure</w:t>
      </w:r>
      <w:proofErr w:type="spellEnd"/>
      <w:r>
        <w:rPr>
          <w:rFonts w:ascii="Times New Roman" w:hAnsi="Times New Roman" w:cs="Times New Roman"/>
        </w:rPr>
        <w:t>.</w:t>
      </w:r>
    </w:p>
  </w:footnote>
  <w:footnote w:id="16">
    <w:p w:rsidR="000F29E3" w:rsidRPr="000507EC" w:rsidRDefault="000F29E3" w:rsidP="004016BA">
      <w:pPr>
        <w:pStyle w:val="Testonotaapidipagina"/>
        <w:jc w:val="both"/>
        <w:rPr>
          <w:rFonts w:ascii="Times New Roman" w:hAnsi="Times New Roman" w:cs="Times New Roman"/>
        </w:rPr>
      </w:pPr>
      <w:r>
        <w:rPr>
          <w:rFonts w:ascii="Times New Roman" w:hAnsi="Times New Roman" w:cs="Times New Roman"/>
        </w:rPr>
        <w:tab/>
      </w:r>
      <w:r w:rsidRPr="000507EC">
        <w:rPr>
          <w:rStyle w:val="Rimandonotaapidipagina"/>
          <w:rFonts w:ascii="Times New Roman" w:hAnsi="Times New Roman" w:cs="Times New Roman"/>
        </w:rPr>
        <w:footnoteRef/>
      </w:r>
      <w:r w:rsidRPr="000507EC">
        <w:rPr>
          <w:rFonts w:ascii="Times New Roman" w:hAnsi="Times New Roman" w:cs="Times New Roman"/>
        </w:rPr>
        <w:t xml:space="preserve"> </w:t>
      </w:r>
      <w:r>
        <w:rPr>
          <w:rFonts w:ascii="Times New Roman" w:hAnsi="Times New Roman" w:cs="Times New Roman"/>
        </w:rPr>
        <w:t xml:space="preserve">Cass. civ., sez. II, 15 maggio 2007, n. 1115, sempre reperibile su </w:t>
      </w:r>
      <w:proofErr w:type="spellStart"/>
      <w:r>
        <w:rPr>
          <w:rFonts w:ascii="Times New Roman" w:hAnsi="Times New Roman" w:cs="Times New Roman"/>
          <w:i/>
        </w:rPr>
        <w:t>Dejure</w:t>
      </w:r>
      <w:proofErr w:type="spellEnd"/>
      <w:r>
        <w:rPr>
          <w:rFonts w:ascii="Times New Roman" w:hAnsi="Times New Roman" w:cs="Times New Roman"/>
        </w:rPr>
        <w:t>.</w:t>
      </w:r>
    </w:p>
  </w:footnote>
  <w:footnote w:id="17">
    <w:p w:rsidR="000F29E3" w:rsidRPr="000507EC" w:rsidRDefault="000F29E3" w:rsidP="004016BA">
      <w:pPr>
        <w:pStyle w:val="Testonotaapidipagina"/>
        <w:jc w:val="both"/>
        <w:rPr>
          <w:rFonts w:ascii="Times New Roman" w:hAnsi="Times New Roman" w:cs="Times New Roman"/>
        </w:rPr>
      </w:pPr>
      <w:r>
        <w:rPr>
          <w:rFonts w:ascii="Times New Roman" w:hAnsi="Times New Roman" w:cs="Times New Roman"/>
        </w:rPr>
        <w:tab/>
      </w:r>
      <w:r w:rsidRPr="000507EC">
        <w:rPr>
          <w:rStyle w:val="Rimandonotaapidipagina"/>
          <w:rFonts w:ascii="Times New Roman" w:hAnsi="Times New Roman" w:cs="Times New Roman"/>
        </w:rPr>
        <w:footnoteRef/>
      </w:r>
      <w:r w:rsidRPr="000507EC">
        <w:rPr>
          <w:rFonts w:ascii="Times New Roman" w:hAnsi="Times New Roman" w:cs="Times New Roman"/>
        </w:rPr>
        <w:t xml:space="preserve"> </w:t>
      </w:r>
      <w:r>
        <w:rPr>
          <w:rFonts w:ascii="Times New Roman" w:hAnsi="Times New Roman" w:cs="Times New Roman"/>
        </w:rPr>
        <w:t xml:space="preserve">Cass. civ., sez. II, 30 settembre 2015, n. 19498, ancora dal </w:t>
      </w:r>
      <w:proofErr w:type="spellStart"/>
      <w:r>
        <w:rPr>
          <w:rFonts w:ascii="Times New Roman" w:hAnsi="Times New Roman" w:cs="Times New Roman"/>
          <w:i/>
        </w:rPr>
        <w:t>Dejure</w:t>
      </w:r>
      <w:proofErr w:type="spellEnd"/>
      <w:r>
        <w:rPr>
          <w:rFonts w:ascii="Times New Roman" w:hAnsi="Times New Roman" w:cs="Times New Roman"/>
        </w:rPr>
        <w:t>.</w:t>
      </w:r>
    </w:p>
  </w:footnote>
  <w:footnote w:id="18">
    <w:p w:rsidR="000F29E3" w:rsidRPr="00B067DB" w:rsidRDefault="000F29E3" w:rsidP="004016BA">
      <w:pPr>
        <w:pStyle w:val="Testonotaapidipagina"/>
        <w:jc w:val="both"/>
        <w:rPr>
          <w:rFonts w:ascii="Times New Roman" w:hAnsi="Times New Roman" w:cs="Times New Roman"/>
        </w:rPr>
      </w:pPr>
      <w:r>
        <w:rPr>
          <w:rFonts w:ascii="Times New Roman" w:hAnsi="Times New Roman" w:cs="Times New Roman"/>
        </w:rPr>
        <w:tab/>
      </w:r>
      <w:r w:rsidRPr="00B067DB">
        <w:rPr>
          <w:rStyle w:val="Rimandonotaapidipagina"/>
          <w:rFonts w:ascii="Times New Roman" w:hAnsi="Times New Roman" w:cs="Times New Roman"/>
        </w:rPr>
        <w:footnoteRef/>
      </w:r>
      <w:r w:rsidRPr="00B067DB">
        <w:rPr>
          <w:rFonts w:ascii="Times New Roman" w:hAnsi="Times New Roman" w:cs="Times New Roman"/>
        </w:rPr>
        <w:t xml:space="preserve"> </w:t>
      </w:r>
      <w:r>
        <w:rPr>
          <w:rFonts w:ascii="Times New Roman" w:hAnsi="Times New Roman" w:cs="Times New Roman"/>
        </w:rPr>
        <w:t xml:space="preserve">M. Russo, </w:t>
      </w:r>
      <w:r>
        <w:rPr>
          <w:rFonts w:ascii="Times New Roman" w:hAnsi="Times New Roman" w:cs="Times New Roman"/>
          <w:i/>
        </w:rPr>
        <w:t xml:space="preserve">Animus </w:t>
      </w:r>
      <w:proofErr w:type="spellStart"/>
      <w:r>
        <w:rPr>
          <w:rFonts w:ascii="Times New Roman" w:hAnsi="Times New Roman" w:cs="Times New Roman"/>
          <w:i/>
        </w:rPr>
        <w:t>confitendi</w:t>
      </w:r>
      <w:proofErr w:type="spellEnd"/>
      <w:r>
        <w:rPr>
          <w:rFonts w:ascii="Times New Roman" w:hAnsi="Times New Roman" w:cs="Times New Roman"/>
          <w:i/>
        </w:rPr>
        <w:t xml:space="preserve"> e prudente apprezzamento della dichiarazione confessoria</w:t>
      </w:r>
      <w:r>
        <w:rPr>
          <w:rFonts w:ascii="Times New Roman" w:hAnsi="Times New Roman" w:cs="Times New Roman"/>
        </w:rPr>
        <w:t xml:space="preserve">, in </w:t>
      </w:r>
      <w:proofErr w:type="spellStart"/>
      <w:r>
        <w:rPr>
          <w:rFonts w:ascii="Times New Roman" w:hAnsi="Times New Roman" w:cs="Times New Roman"/>
          <w:i/>
        </w:rPr>
        <w:t>Riv</w:t>
      </w:r>
      <w:proofErr w:type="spellEnd"/>
      <w:r>
        <w:rPr>
          <w:rFonts w:ascii="Times New Roman" w:hAnsi="Times New Roman" w:cs="Times New Roman"/>
          <w:i/>
        </w:rPr>
        <w:t>. trim. dir. proc. civ.</w:t>
      </w:r>
      <w:r>
        <w:rPr>
          <w:rFonts w:ascii="Times New Roman" w:hAnsi="Times New Roman" w:cs="Times New Roman"/>
        </w:rPr>
        <w:t>, 2015, p. 1003.</w:t>
      </w:r>
    </w:p>
  </w:footnote>
  <w:footnote w:id="19">
    <w:p w:rsidR="000F29E3" w:rsidRPr="00B067DB" w:rsidRDefault="000F29E3" w:rsidP="004016BA">
      <w:pPr>
        <w:pStyle w:val="Testonotaapidipagina"/>
        <w:jc w:val="both"/>
        <w:rPr>
          <w:rFonts w:ascii="Times New Roman" w:hAnsi="Times New Roman" w:cs="Times New Roman"/>
        </w:rPr>
      </w:pPr>
      <w:r>
        <w:rPr>
          <w:rFonts w:ascii="Times New Roman" w:hAnsi="Times New Roman" w:cs="Times New Roman"/>
        </w:rPr>
        <w:tab/>
      </w:r>
      <w:r w:rsidRPr="00B067DB">
        <w:rPr>
          <w:rStyle w:val="Rimandonotaapidipagina"/>
          <w:rFonts w:ascii="Times New Roman" w:hAnsi="Times New Roman" w:cs="Times New Roman"/>
        </w:rPr>
        <w:footnoteRef/>
      </w:r>
      <w:r w:rsidRPr="00B067DB">
        <w:rPr>
          <w:rFonts w:ascii="Times New Roman" w:hAnsi="Times New Roman" w:cs="Times New Roman"/>
        </w:rPr>
        <w:t xml:space="preserve"> </w:t>
      </w:r>
      <w:r>
        <w:rPr>
          <w:rFonts w:ascii="Times New Roman" w:hAnsi="Times New Roman" w:cs="Times New Roman"/>
        </w:rPr>
        <w:t xml:space="preserve">S. </w:t>
      </w:r>
      <w:proofErr w:type="spellStart"/>
      <w:r>
        <w:rPr>
          <w:rFonts w:ascii="Times New Roman" w:hAnsi="Times New Roman" w:cs="Times New Roman"/>
        </w:rPr>
        <w:t>Satta</w:t>
      </w:r>
      <w:proofErr w:type="spellEnd"/>
      <w:r>
        <w:rPr>
          <w:rFonts w:ascii="Times New Roman" w:hAnsi="Times New Roman" w:cs="Times New Roman"/>
        </w:rPr>
        <w:t xml:space="preserve">, </w:t>
      </w:r>
      <w:r>
        <w:rPr>
          <w:rFonts w:ascii="Times New Roman" w:hAnsi="Times New Roman" w:cs="Times New Roman"/>
          <w:i/>
        </w:rPr>
        <w:t>Commentario al codice di procedura civile</w:t>
      </w:r>
      <w:r>
        <w:rPr>
          <w:rFonts w:ascii="Times New Roman" w:hAnsi="Times New Roman" w:cs="Times New Roman"/>
        </w:rPr>
        <w:t xml:space="preserve">, Milano, 1960, p. 215. </w:t>
      </w:r>
    </w:p>
  </w:footnote>
  <w:footnote w:id="20">
    <w:p w:rsidR="000F29E3" w:rsidRPr="00172B48" w:rsidRDefault="000F29E3" w:rsidP="004016BA">
      <w:pPr>
        <w:pStyle w:val="Testonotaapidipagina"/>
        <w:jc w:val="both"/>
        <w:rPr>
          <w:rFonts w:ascii="Times New Roman" w:hAnsi="Times New Roman" w:cs="Times New Roman"/>
        </w:rPr>
      </w:pPr>
      <w:r>
        <w:rPr>
          <w:rFonts w:ascii="Times New Roman" w:hAnsi="Times New Roman" w:cs="Times New Roman"/>
        </w:rPr>
        <w:tab/>
      </w:r>
      <w:r w:rsidRPr="00172B48">
        <w:rPr>
          <w:rStyle w:val="Rimandonotaapidipagina"/>
          <w:rFonts w:ascii="Times New Roman" w:hAnsi="Times New Roman" w:cs="Times New Roman"/>
        </w:rPr>
        <w:footnoteRef/>
      </w:r>
      <w:r w:rsidRPr="00172B48">
        <w:rPr>
          <w:rFonts w:ascii="Times New Roman" w:hAnsi="Times New Roman" w:cs="Times New Roman"/>
        </w:rPr>
        <w:t xml:space="preserve"> </w:t>
      </w:r>
      <w:r>
        <w:rPr>
          <w:rFonts w:ascii="Times New Roman" w:hAnsi="Times New Roman" w:cs="Times New Roman"/>
        </w:rPr>
        <w:t xml:space="preserve">Cass. civ., sez. II, 6 giugno 2006, n. 13212, su </w:t>
      </w:r>
      <w:proofErr w:type="spellStart"/>
      <w:r>
        <w:rPr>
          <w:rFonts w:ascii="Times New Roman" w:hAnsi="Times New Roman" w:cs="Times New Roman"/>
          <w:i/>
        </w:rPr>
        <w:t>Dejure</w:t>
      </w:r>
      <w:proofErr w:type="spellEnd"/>
      <w:r>
        <w:rPr>
          <w:rFonts w:ascii="Times New Roman" w:hAnsi="Times New Roman" w:cs="Times New Roman"/>
        </w:rPr>
        <w:t>.</w:t>
      </w:r>
    </w:p>
  </w:footnote>
  <w:footnote w:id="21">
    <w:p w:rsidR="000F29E3" w:rsidRPr="00172B48" w:rsidRDefault="000F29E3" w:rsidP="004016BA">
      <w:pPr>
        <w:pStyle w:val="Testonotaapidipagina"/>
        <w:jc w:val="both"/>
        <w:rPr>
          <w:rFonts w:ascii="Times New Roman" w:hAnsi="Times New Roman" w:cs="Times New Roman"/>
        </w:rPr>
      </w:pPr>
      <w:r>
        <w:rPr>
          <w:rFonts w:ascii="Times New Roman" w:hAnsi="Times New Roman" w:cs="Times New Roman"/>
        </w:rPr>
        <w:tab/>
      </w:r>
      <w:r w:rsidRPr="00172B48">
        <w:rPr>
          <w:rStyle w:val="Rimandonotaapidipagina"/>
          <w:rFonts w:ascii="Times New Roman" w:hAnsi="Times New Roman" w:cs="Times New Roman"/>
        </w:rPr>
        <w:footnoteRef/>
      </w:r>
      <w:r w:rsidRPr="00172B48">
        <w:rPr>
          <w:rFonts w:ascii="Times New Roman" w:hAnsi="Times New Roman" w:cs="Times New Roman"/>
        </w:rPr>
        <w:t xml:space="preserve"> </w:t>
      </w:r>
      <w:r>
        <w:rPr>
          <w:rFonts w:ascii="Times New Roman" w:hAnsi="Times New Roman" w:cs="Times New Roman"/>
        </w:rPr>
        <w:t xml:space="preserve">Cass. civ., sez. </w:t>
      </w:r>
      <w:proofErr w:type="spellStart"/>
      <w:r>
        <w:rPr>
          <w:rFonts w:ascii="Times New Roman" w:hAnsi="Times New Roman" w:cs="Times New Roman"/>
        </w:rPr>
        <w:t>lav</w:t>
      </w:r>
      <w:proofErr w:type="spellEnd"/>
      <w:r>
        <w:rPr>
          <w:rFonts w:ascii="Times New Roman" w:hAnsi="Times New Roman" w:cs="Times New Roman"/>
        </w:rPr>
        <w:t xml:space="preserve">., 7 agosto 2012, n. 14193, </w:t>
      </w:r>
      <w:proofErr w:type="spellStart"/>
      <w:r>
        <w:rPr>
          <w:rFonts w:ascii="Times New Roman" w:hAnsi="Times New Roman" w:cs="Times New Roman"/>
          <w:i/>
        </w:rPr>
        <w:t>Dejure</w:t>
      </w:r>
      <w:proofErr w:type="spellEnd"/>
      <w:r>
        <w:rPr>
          <w:rFonts w:ascii="Times New Roman" w:hAnsi="Times New Roman" w:cs="Times New Roman"/>
        </w:rPr>
        <w:t xml:space="preserve">. Sul punto, M. Russo, </w:t>
      </w:r>
      <w:r>
        <w:rPr>
          <w:rFonts w:ascii="Times New Roman" w:hAnsi="Times New Roman" w:cs="Times New Roman"/>
          <w:i/>
        </w:rPr>
        <w:t xml:space="preserve">Animus </w:t>
      </w:r>
      <w:proofErr w:type="spellStart"/>
      <w:r>
        <w:rPr>
          <w:rFonts w:ascii="Times New Roman" w:hAnsi="Times New Roman" w:cs="Times New Roman"/>
          <w:i/>
        </w:rPr>
        <w:t>confitendi</w:t>
      </w:r>
      <w:proofErr w:type="spellEnd"/>
      <w:r>
        <w:rPr>
          <w:rFonts w:ascii="Times New Roman" w:hAnsi="Times New Roman" w:cs="Times New Roman"/>
          <w:i/>
        </w:rPr>
        <w:t xml:space="preserve"> e prudente apprezzamento</w:t>
      </w:r>
      <w:r>
        <w:rPr>
          <w:rFonts w:ascii="Times New Roman" w:hAnsi="Times New Roman" w:cs="Times New Roman"/>
        </w:rPr>
        <w:t xml:space="preserve">, cit., p. 1002. </w:t>
      </w:r>
    </w:p>
  </w:footnote>
  <w:footnote w:id="22">
    <w:p w:rsidR="000F29E3" w:rsidRPr="00A31293" w:rsidRDefault="000F29E3" w:rsidP="004016BA">
      <w:pPr>
        <w:pStyle w:val="Testonotaapidipagina"/>
        <w:jc w:val="both"/>
        <w:rPr>
          <w:rFonts w:ascii="Times New Roman" w:hAnsi="Times New Roman" w:cs="Times New Roman"/>
        </w:rPr>
      </w:pPr>
      <w:r>
        <w:rPr>
          <w:rFonts w:ascii="Times New Roman" w:hAnsi="Times New Roman" w:cs="Times New Roman"/>
        </w:rPr>
        <w:tab/>
      </w:r>
      <w:r w:rsidRPr="00A31293">
        <w:rPr>
          <w:rStyle w:val="Rimandonotaapidipagina"/>
          <w:rFonts w:ascii="Times New Roman" w:hAnsi="Times New Roman" w:cs="Times New Roman"/>
        </w:rPr>
        <w:footnoteRef/>
      </w:r>
      <w:r w:rsidRPr="00A31293">
        <w:rPr>
          <w:rFonts w:ascii="Times New Roman" w:hAnsi="Times New Roman" w:cs="Times New Roman"/>
        </w:rPr>
        <w:t xml:space="preserve"> </w:t>
      </w:r>
      <w:r>
        <w:rPr>
          <w:rFonts w:ascii="Times New Roman" w:hAnsi="Times New Roman" w:cs="Times New Roman"/>
        </w:rPr>
        <w:t xml:space="preserve">L. </w:t>
      </w:r>
      <w:proofErr w:type="spellStart"/>
      <w:r>
        <w:rPr>
          <w:rFonts w:ascii="Times New Roman" w:hAnsi="Times New Roman" w:cs="Times New Roman"/>
        </w:rPr>
        <w:t>Ariola</w:t>
      </w:r>
      <w:proofErr w:type="spellEnd"/>
      <w:r>
        <w:rPr>
          <w:rFonts w:ascii="Times New Roman" w:hAnsi="Times New Roman" w:cs="Times New Roman"/>
        </w:rPr>
        <w:t xml:space="preserve">, </w:t>
      </w:r>
      <w:r>
        <w:rPr>
          <w:rFonts w:ascii="Times New Roman" w:hAnsi="Times New Roman" w:cs="Times New Roman"/>
          <w:i/>
        </w:rPr>
        <w:t>Le prove atipiche nel processo civile</w:t>
      </w:r>
      <w:r>
        <w:rPr>
          <w:rFonts w:ascii="Times New Roman" w:hAnsi="Times New Roman" w:cs="Times New Roman"/>
        </w:rPr>
        <w:t>, Torino, 2008, p. 6.</w:t>
      </w:r>
    </w:p>
  </w:footnote>
  <w:footnote w:id="23">
    <w:p w:rsidR="000F29E3" w:rsidRPr="000F0228" w:rsidRDefault="000F29E3" w:rsidP="00213297">
      <w:pPr>
        <w:pStyle w:val="Testonotaapidipagina"/>
        <w:jc w:val="both"/>
        <w:rPr>
          <w:rFonts w:ascii="Times New Roman" w:hAnsi="Times New Roman" w:cs="Times New Roman"/>
        </w:rPr>
      </w:pPr>
      <w:r>
        <w:rPr>
          <w:rFonts w:ascii="Times New Roman" w:hAnsi="Times New Roman" w:cs="Times New Roman"/>
        </w:rPr>
        <w:tab/>
      </w:r>
      <w:r w:rsidRPr="000F0228">
        <w:rPr>
          <w:rStyle w:val="Rimandonotaapidipagina"/>
          <w:rFonts w:ascii="Times New Roman" w:hAnsi="Times New Roman" w:cs="Times New Roman"/>
        </w:rPr>
        <w:footnoteRef/>
      </w:r>
      <w:r w:rsidRPr="000F0228">
        <w:rPr>
          <w:rFonts w:ascii="Times New Roman" w:hAnsi="Times New Roman" w:cs="Times New Roman"/>
        </w:rPr>
        <w:t xml:space="preserve"> </w:t>
      </w:r>
      <w:r>
        <w:rPr>
          <w:rFonts w:ascii="Times New Roman" w:hAnsi="Times New Roman" w:cs="Times New Roman"/>
        </w:rPr>
        <w:t xml:space="preserve">F. </w:t>
      </w:r>
      <w:proofErr w:type="spellStart"/>
      <w:r>
        <w:rPr>
          <w:rFonts w:ascii="Times New Roman" w:hAnsi="Times New Roman" w:cs="Times New Roman"/>
        </w:rPr>
        <w:t>Carnelutti</w:t>
      </w:r>
      <w:proofErr w:type="spellEnd"/>
      <w:r>
        <w:rPr>
          <w:rFonts w:ascii="Times New Roman" w:hAnsi="Times New Roman" w:cs="Times New Roman"/>
        </w:rPr>
        <w:t xml:space="preserve">, </w:t>
      </w:r>
      <w:r>
        <w:rPr>
          <w:rFonts w:ascii="Times New Roman" w:hAnsi="Times New Roman" w:cs="Times New Roman"/>
          <w:i/>
        </w:rPr>
        <w:t>Studi sulla sottoscrizione</w:t>
      </w:r>
      <w:r>
        <w:rPr>
          <w:rFonts w:ascii="Times New Roman" w:hAnsi="Times New Roman" w:cs="Times New Roman"/>
        </w:rPr>
        <w:t xml:space="preserve">, in </w:t>
      </w:r>
      <w:proofErr w:type="spellStart"/>
      <w:r>
        <w:rPr>
          <w:rFonts w:ascii="Times New Roman" w:hAnsi="Times New Roman" w:cs="Times New Roman"/>
          <w:i/>
        </w:rPr>
        <w:t>Riv</w:t>
      </w:r>
      <w:proofErr w:type="spellEnd"/>
      <w:r>
        <w:rPr>
          <w:rFonts w:ascii="Times New Roman" w:hAnsi="Times New Roman" w:cs="Times New Roman"/>
          <w:i/>
        </w:rPr>
        <w:t>. dir. comm.</w:t>
      </w:r>
      <w:r>
        <w:rPr>
          <w:rFonts w:ascii="Times New Roman" w:hAnsi="Times New Roman" w:cs="Times New Roman"/>
        </w:rPr>
        <w:t>, 1929, p. 229.</w:t>
      </w:r>
    </w:p>
  </w:footnote>
  <w:footnote w:id="24">
    <w:p w:rsidR="000F29E3" w:rsidRPr="000F0228" w:rsidRDefault="000F29E3" w:rsidP="00213297">
      <w:pPr>
        <w:pStyle w:val="Testonotaapidipagina"/>
        <w:jc w:val="both"/>
        <w:rPr>
          <w:rFonts w:ascii="Times New Roman" w:hAnsi="Times New Roman" w:cs="Times New Roman"/>
        </w:rPr>
      </w:pPr>
      <w:r>
        <w:rPr>
          <w:rFonts w:ascii="Times New Roman" w:hAnsi="Times New Roman" w:cs="Times New Roman"/>
        </w:rPr>
        <w:tab/>
      </w:r>
      <w:r w:rsidRPr="000F0228">
        <w:rPr>
          <w:rStyle w:val="Rimandonotaapidipagina"/>
          <w:rFonts w:ascii="Times New Roman" w:hAnsi="Times New Roman" w:cs="Times New Roman"/>
        </w:rPr>
        <w:footnoteRef/>
      </w:r>
      <w:r w:rsidRPr="000F0228">
        <w:rPr>
          <w:rFonts w:ascii="Times New Roman" w:hAnsi="Times New Roman" w:cs="Times New Roman"/>
        </w:rPr>
        <w:t xml:space="preserve"> </w:t>
      </w:r>
      <w:r>
        <w:rPr>
          <w:rFonts w:ascii="Times New Roman" w:hAnsi="Times New Roman" w:cs="Times New Roman"/>
        </w:rPr>
        <w:t xml:space="preserve">G. </w:t>
      </w:r>
      <w:proofErr w:type="spellStart"/>
      <w:r>
        <w:rPr>
          <w:rFonts w:ascii="Times New Roman" w:hAnsi="Times New Roman" w:cs="Times New Roman"/>
        </w:rPr>
        <w:t>Chiovenda</w:t>
      </w:r>
      <w:proofErr w:type="spellEnd"/>
      <w:r>
        <w:rPr>
          <w:rFonts w:ascii="Times New Roman" w:hAnsi="Times New Roman" w:cs="Times New Roman"/>
        </w:rPr>
        <w:t xml:space="preserve">, </w:t>
      </w:r>
      <w:proofErr w:type="spellStart"/>
      <w:r>
        <w:rPr>
          <w:rFonts w:ascii="Times New Roman" w:hAnsi="Times New Roman" w:cs="Times New Roman"/>
          <w:i/>
        </w:rPr>
        <w:t>Principii</w:t>
      </w:r>
      <w:proofErr w:type="spellEnd"/>
      <w:r>
        <w:rPr>
          <w:rFonts w:ascii="Times New Roman" w:hAnsi="Times New Roman" w:cs="Times New Roman"/>
          <w:i/>
        </w:rPr>
        <w:t xml:space="preserve"> di diritto processuale civile</w:t>
      </w:r>
      <w:r>
        <w:rPr>
          <w:rFonts w:ascii="Times New Roman" w:hAnsi="Times New Roman" w:cs="Times New Roman"/>
        </w:rPr>
        <w:t>, Napoli, 1928, p. 842: «</w:t>
      </w:r>
      <w:r w:rsidRPr="00286CFE">
        <w:rPr>
          <w:rFonts w:ascii="Times New Roman" w:hAnsi="Times New Roman" w:cs="Times New Roman"/>
        </w:rPr>
        <w:t>i documenti di gran lunga più importanti sono le scrittur</w:t>
      </w:r>
      <w:r w:rsidRPr="000F0228">
        <w:rPr>
          <w:rFonts w:ascii="Times New Roman" w:hAnsi="Times New Roman" w:cs="Times New Roman"/>
          <w:i/>
        </w:rPr>
        <w:t>e</w:t>
      </w:r>
      <w:r>
        <w:rPr>
          <w:rFonts w:ascii="Times New Roman" w:hAnsi="Times New Roman" w:cs="Times New Roman"/>
        </w:rPr>
        <w:t>».</w:t>
      </w:r>
    </w:p>
  </w:footnote>
  <w:footnote w:id="25">
    <w:p w:rsidR="000F29E3" w:rsidRPr="00637221" w:rsidRDefault="000F29E3" w:rsidP="00213297">
      <w:pPr>
        <w:pStyle w:val="Testonotaapidipagina"/>
        <w:jc w:val="both"/>
        <w:rPr>
          <w:rFonts w:ascii="Times New Roman" w:hAnsi="Times New Roman" w:cs="Times New Roman"/>
        </w:rPr>
      </w:pPr>
      <w:r>
        <w:rPr>
          <w:rFonts w:ascii="Times New Roman" w:hAnsi="Times New Roman" w:cs="Times New Roman"/>
        </w:rPr>
        <w:tab/>
      </w:r>
      <w:r w:rsidRPr="00637221">
        <w:rPr>
          <w:rStyle w:val="Rimandonotaapidipagina"/>
          <w:rFonts w:ascii="Times New Roman" w:hAnsi="Times New Roman" w:cs="Times New Roman"/>
        </w:rPr>
        <w:footnoteRef/>
      </w:r>
      <w:r w:rsidRPr="00637221">
        <w:rPr>
          <w:rFonts w:ascii="Times New Roman" w:hAnsi="Times New Roman" w:cs="Times New Roman"/>
        </w:rPr>
        <w:t xml:space="preserve"> </w:t>
      </w:r>
      <w:r>
        <w:rPr>
          <w:rFonts w:ascii="Times New Roman" w:hAnsi="Times New Roman" w:cs="Times New Roman"/>
        </w:rPr>
        <w:t xml:space="preserve">Sul documento come </w:t>
      </w:r>
      <w:proofErr w:type="spellStart"/>
      <w:r>
        <w:rPr>
          <w:rFonts w:ascii="Times New Roman" w:hAnsi="Times New Roman" w:cs="Times New Roman"/>
          <w:i/>
        </w:rPr>
        <w:t>res</w:t>
      </w:r>
      <w:proofErr w:type="spellEnd"/>
      <w:r>
        <w:rPr>
          <w:rFonts w:ascii="Times New Roman" w:hAnsi="Times New Roman" w:cs="Times New Roman"/>
          <w:i/>
        </w:rPr>
        <w:t xml:space="preserve"> </w:t>
      </w:r>
      <w:proofErr w:type="spellStart"/>
      <w:r>
        <w:rPr>
          <w:rFonts w:ascii="Times New Roman" w:hAnsi="Times New Roman" w:cs="Times New Roman"/>
          <w:i/>
        </w:rPr>
        <w:t>signata</w:t>
      </w:r>
      <w:proofErr w:type="spellEnd"/>
      <w:r>
        <w:rPr>
          <w:rFonts w:ascii="Times New Roman" w:hAnsi="Times New Roman" w:cs="Times New Roman"/>
        </w:rPr>
        <w:t xml:space="preserve">, M. </w:t>
      </w:r>
      <w:proofErr w:type="spellStart"/>
      <w:r>
        <w:rPr>
          <w:rFonts w:ascii="Times New Roman" w:hAnsi="Times New Roman" w:cs="Times New Roman"/>
        </w:rPr>
        <w:t>Taruffo</w:t>
      </w:r>
      <w:proofErr w:type="spellEnd"/>
      <w:r>
        <w:rPr>
          <w:rFonts w:ascii="Times New Roman" w:hAnsi="Times New Roman" w:cs="Times New Roman"/>
        </w:rPr>
        <w:t xml:space="preserve">, </w:t>
      </w:r>
      <w:r>
        <w:rPr>
          <w:rFonts w:ascii="Times New Roman" w:hAnsi="Times New Roman" w:cs="Times New Roman"/>
          <w:i/>
        </w:rPr>
        <w:t>La prova nel processo civile</w:t>
      </w:r>
      <w:r>
        <w:rPr>
          <w:rFonts w:ascii="Times New Roman" w:hAnsi="Times New Roman" w:cs="Times New Roman"/>
        </w:rPr>
        <w:t xml:space="preserve">, Milano, 2012, p. 578.  </w:t>
      </w:r>
    </w:p>
  </w:footnote>
  <w:footnote w:id="26">
    <w:p w:rsidR="000F29E3" w:rsidRPr="002074CD" w:rsidRDefault="000F29E3" w:rsidP="004016BA">
      <w:pPr>
        <w:pStyle w:val="Testonotaapidipagina"/>
        <w:jc w:val="both"/>
        <w:rPr>
          <w:rFonts w:ascii="Times New Roman" w:hAnsi="Times New Roman" w:cs="Times New Roman"/>
        </w:rPr>
      </w:pPr>
      <w:r>
        <w:rPr>
          <w:rFonts w:ascii="Times New Roman" w:hAnsi="Times New Roman" w:cs="Times New Roman"/>
        </w:rPr>
        <w:tab/>
      </w:r>
      <w:r w:rsidRPr="002074CD">
        <w:rPr>
          <w:rStyle w:val="Rimandonotaapidipagina"/>
          <w:rFonts w:ascii="Times New Roman" w:hAnsi="Times New Roman" w:cs="Times New Roman"/>
        </w:rPr>
        <w:footnoteRef/>
      </w:r>
      <w:r w:rsidRPr="002074CD">
        <w:rPr>
          <w:rFonts w:ascii="Times New Roman" w:hAnsi="Times New Roman" w:cs="Times New Roman"/>
        </w:rPr>
        <w:t xml:space="preserve"> </w:t>
      </w:r>
      <w:r>
        <w:rPr>
          <w:rFonts w:ascii="Times New Roman" w:hAnsi="Times New Roman" w:cs="Times New Roman"/>
        </w:rPr>
        <w:t xml:space="preserve">F. Cordero, </w:t>
      </w:r>
      <w:r>
        <w:rPr>
          <w:rFonts w:ascii="Times New Roman" w:hAnsi="Times New Roman" w:cs="Times New Roman"/>
          <w:i/>
        </w:rPr>
        <w:t>Diatribe sul processo accusatorio</w:t>
      </w:r>
      <w:r>
        <w:rPr>
          <w:rFonts w:ascii="Times New Roman" w:hAnsi="Times New Roman" w:cs="Times New Roman"/>
        </w:rPr>
        <w:t xml:space="preserve">, in Id., </w:t>
      </w:r>
      <w:r>
        <w:rPr>
          <w:rFonts w:ascii="Times New Roman" w:hAnsi="Times New Roman" w:cs="Times New Roman"/>
          <w:i/>
        </w:rPr>
        <w:t>Ideologie del processo penale</w:t>
      </w:r>
      <w:r>
        <w:rPr>
          <w:rFonts w:ascii="Times New Roman" w:hAnsi="Times New Roman" w:cs="Times New Roman"/>
        </w:rPr>
        <w:t>, Torino, 1966, p. 205.</w:t>
      </w:r>
    </w:p>
  </w:footnote>
  <w:footnote w:id="27">
    <w:p w:rsidR="000F29E3" w:rsidRPr="00453D4C" w:rsidRDefault="000F29E3" w:rsidP="004016BA">
      <w:pPr>
        <w:pStyle w:val="Testonotaapidipagina"/>
        <w:jc w:val="both"/>
        <w:rPr>
          <w:rFonts w:ascii="Times New Roman" w:hAnsi="Times New Roman" w:cs="Times New Roman"/>
        </w:rPr>
      </w:pPr>
      <w:r>
        <w:rPr>
          <w:rFonts w:ascii="Times New Roman" w:hAnsi="Times New Roman" w:cs="Times New Roman"/>
        </w:rPr>
        <w:tab/>
      </w:r>
      <w:r w:rsidRPr="002074CD">
        <w:rPr>
          <w:rStyle w:val="Rimandonotaapidipagina"/>
          <w:rFonts w:ascii="Times New Roman" w:hAnsi="Times New Roman" w:cs="Times New Roman"/>
        </w:rPr>
        <w:footnoteRef/>
      </w:r>
      <w:r w:rsidRPr="002074CD">
        <w:rPr>
          <w:rFonts w:ascii="Times New Roman" w:hAnsi="Times New Roman" w:cs="Times New Roman"/>
        </w:rPr>
        <w:t xml:space="preserve"> </w:t>
      </w:r>
      <w:r>
        <w:rPr>
          <w:rFonts w:ascii="Times New Roman" w:hAnsi="Times New Roman" w:cs="Times New Roman"/>
        </w:rPr>
        <w:t xml:space="preserve">Come ricorda R. De Matteo, </w:t>
      </w:r>
      <w:r>
        <w:rPr>
          <w:rFonts w:ascii="Times New Roman" w:hAnsi="Times New Roman" w:cs="Times New Roman"/>
          <w:i/>
        </w:rPr>
        <w:t>In tema di trasmigrazione probatoria tra procedimenti diversi</w:t>
      </w:r>
      <w:r>
        <w:rPr>
          <w:rFonts w:ascii="Times New Roman" w:hAnsi="Times New Roman" w:cs="Times New Roman"/>
        </w:rPr>
        <w:t xml:space="preserve">, in </w:t>
      </w:r>
      <w:r>
        <w:rPr>
          <w:rFonts w:ascii="Times New Roman" w:hAnsi="Times New Roman" w:cs="Times New Roman"/>
          <w:i/>
        </w:rPr>
        <w:t xml:space="preserve">Arch. </w:t>
      </w:r>
      <w:proofErr w:type="spellStart"/>
      <w:r>
        <w:rPr>
          <w:rFonts w:ascii="Times New Roman" w:hAnsi="Times New Roman" w:cs="Times New Roman"/>
          <w:i/>
        </w:rPr>
        <w:t>pen</w:t>
      </w:r>
      <w:proofErr w:type="spellEnd"/>
      <w:r>
        <w:rPr>
          <w:rFonts w:ascii="Times New Roman" w:hAnsi="Times New Roman" w:cs="Times New Roman"/>
          <w:i/>
        </w:rPr>
        <w:t>.</w:t>
      </w:r>
      <w:r>
        <w:rPr>
          <w:rFonts w:ascii="Times New Roman" w:hAnsi="Times New Roman" w:cs="Times New Roman"/>
        </w:rPr>
        <w:t>, 2011, 3, p. 2.</w:t>
      </w:r>
    </w:p>
  </w:footnote>
  <w:footnote w:id="28">
    <w:p w:rsidR="000F29E3" w:rsidRPr="00F80A44" w:rsidRDefault="000F29E3" w:rsidP="00213297">
      <w:pPr>
        <w:pStyle w:val="Testonotaapidipagina"/>
        <w:jc w:val="both"/>
        <w:rPr>
          <w:rFonts w:ascii="Times New Roman" w:hAnsi="Times New Roman" w:cs="Times New Roman"/>
        </w:rPr>
      </w:pPr>
      <w:r>
        <w:rPr>
          <w:rFonts w:ascii="Times New Roman" w:hAnsi="Times New Roman" w:cs="Times New Roman"/>
        </w:rPr>
        <w:tab/>
      </w:r>
      <w:r w:rsidRPr="006F35EE">
        <w:rPr>
          <w:rStyle w:val="Rimandonotaapidipagina"/>
          <w:rFonts w:ascii="Times New Roman" w:hAnsi="Times New Roman" w:cs="Times New Roman"/>
        </w:rPr>
        <w:footnoteRef/>
      </w:r>
      <w:r w:rsidRPr="006F35EE">
        <w:rPr>
          <w:rFonts w:ascii="Times New Roman" w:hAnsi="Times New Roman" w:cs="Times New Roman"/>
        </w:rPr>
        <w:t xml:space="preserve"> </w:t>
      </w:r>
      <w:r>
        <w:rPr>
          <w:rFonts w:ascii="Times New Roman" w:hAnsi="Times New Roman" w:cs="Times New Roman"/>
        </w:rPr>
        <w:t xml:space="preserve">A. </w:t>
      </w:r>
      <w:proofErr w:type="spellStart"/>
      <w:r>
        <w:rPr>
          <w:rFonts w:ascii="Times New Roman" w:hAnsi="Times New Roman" w:cs="Times New Roman"/>
        </w:rPr>
        <w:t>Sanna</w:t>
      </w:r>
      <w:proofErr w:type="spellEnd"/>
      <w:r>
        <w:rPr>
          <w:rFonts w:ascii="Times New Roman" w:hAnsi="Times New Roman" w:cs="Times New Roman"/>
        </w:rPr>
        <w:t xml:space="preserve">, </w:t>
      </w:r>
      <w:r>
        <w:rPr>
          <w:rFonts w:ascii="Times New Roman" w:hAnsi="Times New Roman" w:cs="Times New Roman"/>
          <w:i/>
        </w:rPr>
        <w:t>L'interrogatorio e l'esame dell'imputato nei procedimenti connessi: alla luce del giusto processo</w:t>
      </w:r>
      <w:r>
        <w:rPr>
          <w:rFonts w:ascii="Times New Roman" w:hAnsi="Times New Roman" w:cs="Times New Roman"/>
        </w:rPr>
        <w:t xml:space="preserve">, Milano, 2007, p. 166, nota 109. L'Autore cita, poi, G. </w:t>
      </w:r>
      <w:proofErr w:type="spellStart"/>
      <w:r>
        <w:rPr>
          <w:rFonts w:ascii="Times New Roman" w:hAnsi="Times New Roman" w:cs="Times New Roman"/>
        </w:rPr>
        <w:t>Lozzi</w:t>
      </w:r>
      <w:proofErr w:type="spellEnd"/>
      <w:r>
        <w:rPr>
          <w:rFonts w:ascii="Times New Roman" w:hAnsi="Times New Roman" w:cs="Times New Roman"/>
        </w:rPr>
        <w:t xml:space="preserve">, </w:t>
      </w:r>
      <w:r>
        <w:rPr>
          <w:rFonts w:ascii="Times New Roman" w:hAnsi="Times New Roman" w:cs="Times New Roman"/>
          <w:i/>
        </w:rPr>
        <w:t>I principi dell'oralità e del contraddittorio nel processo penale</w:t>
      </w:r>
      <w:r>
        <w:rPr>
          <w:rFonts w:ascii="Times New Roman" w:hAnsi="Times New Roman" w:cs="Times New Roman"/>
        </w:rPr>
        <w:t xml:space="preserve">, in </w:t>
      </w:r>
      <w:proofErr w:type="spellStart"/>
      <w:r>
        <w:rPr>
          <w:rFonts w:ascii="Times New Roman" w:hAnsi="Times New Roman" w:cs="Times New Roman"/>
          <w:i/>
        </w:rPr>
        <w:t>Riv</w:t>
      </w:r>
      <w:proofErr w:type="spellEnd"/>
      <w:r>
        <w:rPr>
          <w:rFonts w:ascii="Times New Roman" w:hAnsi="Times New Roman" w:cs="Times New Roman"/>
          <w:i/>
        </w:rPr>
        <w:t xml:space="preserve">. </w:t>
      </w:r>
      <w:proofErr w:type="spellStart"/>
      <w:r>
        <w:rPr>
          <w:rFonts w:ascii="Times New Roman" w:hAnsi="Times New Roman" w:cs="Times New Roman"/>
          <w:i/>
        </w:rPr>
        <w:t>it</w:t>
      </w:r>
      <w:proofErr w:type="spellEnd"/>
      <w:r>
        <w:rPr>
          <w:rFonts w:ascii="Times New Roman" w:hAnsi="Times New Roman" w:cs="Times New Roman"/>
          <w:i/>
        </w:rPr>
        <w:t xml:space="preserve">. dir. proc. </w:t>
      </w:r>
      <w:proofErr w:type="spellStart"/>
      <w:r>
        <w:rPr>
          <w:rFonts w:ascii="Times New Roman" w:hAnsi="Times New Roman" w:cs="Times New Roman"/>
          <w:i/>
        </w:rPr>
        <w:t>pen</w:t>
      </w:r>
      <w:proofErr w:type="spellEnd"/>
      <w:r>
        <w:rPr>
          <w:rFonts w:ascii="Times New Roman" w:hAnsi="Times New Roman" w:cs="Times New Roman"/>
          <w:i/>
        </w:rPr>
        <w:t>.</w:t>
      </w:r>
      <w:r>
        <w:rPr>
          <w:rFonts w:ascii="Times New Roman" w:hAnsi="Times New Roman" w:cs="Times New Roman"/>
        </w:rPr>
        <w:t xml:space="preserve">, 1997, p. 687; I. </w:t>
      </w:r>
      <w:proofErr w:type="spellStart"/>
      <w:r>
        <w:rPr>
          <w:rFonts w:ascii="Times New Roman" w:hAnsi="Times New Roman" w:cs="Times New Roman"/>
        </w:rPr>
        <w:t>Alessandrucci</w:t>
      </w:r>
      <w:proofErr w:type="spellEnd"/>
      <w:r>
        <w:rPr>
          <w:rFonts w:ascii="Times New Roman" w:hAnsi="Times New Roman" w:cs="Times New Roman"/>
        </w:rPr>
        <w:t xml:space="preserve">, </w:t>
      </w:r>
      <w:r>
        <w:rPr>
          <w:rFonts w:ascii="Times New Roman" w:hAnsi="Times New Roman" w:cs="Times New Roman"/>
          <w:i/>
        </w:rPr>
        <w:t xml:space="preserve">Il contraddittorio tra illusione </w:t>
      </w:r>
      <w:proofErr w:type="spellStart"/>
      <w:r>
        <w:rPr>
          <w:rFonts w:ascii="Times New Roman" w:hAnsi="Times New Roman" w:cs="Times New Roman"/>
          <w:i/>
        </w:rPr>
        <w:t>codicistica</w:t>
      </w:r>
      <w:proofErr w:type="spellEnd"/>
      <w:r>
        <w:rPr>
          <w:rFonts w:ascii="Times New Roman" w:hAnsi="Times New Roman" w:cs="Times New Roman"/>
          <w:i/>
        </w:rPr>
        <w:t xml:space="preserve"> e nuovi </w:t>
      </w:r>
      <w:proofErr w:type="spellStart"/>
      <w:r>
        <w:rPr>
          <w:rFonts w:ascii="Times New Roman" w:hAnsi="Times New Roman" w:cs="Times New Roman"/>
        </w:rPr>
        <w:t>standards</w:t>
      </w:r>
      <w:proofErr w:type="spellEnd"/>
      <w:r>
        <w:rPr>
          <w:rFonts w:ascii="Times New Roman" w:hAnsi="Times New Roman" w:cs="Times New Roman"/>
          <w:i/>
        </w:rPr>
        <w:t xml:space="preserve"> difensivi</w:t>
      </w:r>
      <w:r>
        <w:rPr>
          <w:rFonts w:ascii="Times New Roman" w:hAnsi="Times New Roman" w:cs="Times New Roman"/>
        </w:rPr>
        <w:t xml:space="preserve">, in </w:t>
      </w:r>
      <w:proofErr w:type="spellStart"/>
      <w:r>
        <w:rPr>
          <w:rFonts w:ascii="Times New Roman" w:hAnsi="Times New Roman" w:cs="Times New Roman"/>
          <w:i/>
        </w:rPr>
        <w:t>Giur</w:t>
      </w:r>
      <w:proofErr w:type="spellEnd"/>
      <w:r>
        <w:rPr>
          <w:rFonts w:ascii="Times New Roman" w:hAnsi="Times New Roman" w:cs="Times New Roman"/>
          <w:i/>
        </w:rPr>
        <w:t xml:space="preserve">. </w:t>
      </w:r>
      <w:proofErr w:type="spellStart"/>
      <w:r>
        <w:rPr>
          <w:rFonts w:ascii="Times New Roman" w:hAnsi="Times New Roman" w:cs="Times New Roman"/>
          <w:i/>
        </w:rPr>
        <w:t>it</w:t>
      </w:r>
      <w:proofErr w:type="spellEnd"/>
      <w:r>
        <w:rPr>
          <w:rFonts w:ascii="Times New Roman" w:hAnsi="Times New Roman" w:cs="Times New Roman"/>
          <w:i/>
        </w:rPr>
        <w:t>.</w:t>
      </w:r>
      <w:r>
        <w:rPr>
          <w:rFonts w:ascii="Times New Roman" w:hAnsi="Times New Roman" w:cs="Times New Roman"/>
        </w:rPr>
        <w:t xml:space="preserve">, 2004, p. 155; N. Rombi, </w:t>
      </w:r>
      <w:r>
        <w:rPr>
          <w:rFonts w:ascii="Times New Roman" w:hAnsi="Times New Roman" w:cs="Times New Roman"/>
          <w:i/>
        </w:rPr>
        <w:t>Circolazione probatoria e diritto al contraddittorio</w:t>
      </w:r>
      <w:r>
        <w:rPr>
          <w:rFonts w:ascii="Times New Roman" w:hAnsi="Times New Roman" w:cs="Times New Roman"/>
        </w:rPr>
        <w:t xml:space="preserve">, in AA.VV., </w:t>
      </w:r>
      <w:r>
        <w:rPr>
          <w:rFonts w:ascii="Times New Roman" w:hAnsi="Times New Roman" w:cs="Times New Roman"/>
          <w:i/>
        </w:rPr>
        <w:t>Giusto processo. Nuove norme sulla formazione e valutazione della prova (l. 1 marzo 2001, n. 63)</w:t>
      </w:r>
      <w:r>
        <w:rPr>
          <w:rFonts w:ascii="Times New Roman" w:hAnsi="Times New Roman" w:cs="Times New Roman"/>
        </w:rPr>
        <w:t xml:space="preserve">, Padova, 2001, p. 371; A. </w:t>
      </w:r>
      <w:proofErr w:type="spellStart"/>
      <w:r>
        <w:rPr>
          <w:rFonts w:ascii="Times New Roman" w:hAnsi="Times New Roman" w:cs="Times New Roman"/>
        </w:rPr>
        <w:t>Scella</w:t>
      </w:r>
      <w:proofErr w:type="spellEnd"/>
      <w:r>
        <w:rPr>
          <w:rFonts w:ascii="Times New Roman" w:hAnsi="Times New Roman" w:cs="Times New Roman"/>
        </w:rPr>
        <w:t xml:space="preserve">, </w:t>
      </w:r>
      <w:r>
        <w:rPr>
          <w:rFonts w:ascii="Times New Roman" w:hAnsi="Times New Roman" w:cs="Times New Roman"/>
          <w:i/>
        </w:rPr>
        <w:t>Tutela del contraddittorio e utilizzazione di prove formate in altri procedimenti</w:t>
      </w:r>
      <w:r>
        <w:rPr>
          <w:rFonts w:ascii="Times New Roman" w:hAnsi="Times New Roman" w:cs="Times New Roman"/>
        </w:rPr>
        <w:t xml:space="preserve">, in </w:t>
      </w:r>
      <w:proofErr w:type="spellStart"/>
      <w:r>
        <w:rPr>
          <w:rFonts w:ascii="Times New Roman" w:hAnsi="Times New Roman" w:cs="Times New Roman"/>
        </w:rPr>
        <w:t>R.E.</w:t>
      </w:r>
      <w:proofErr w:type="spellEnd"/>
      <w:r>
        <w:rPr>
          <w:rFonts w:ascii="Times New Roman" w:hAnsi="Times New Roman" w:cs="Times New Roman"/>
        </w:rPr>
        <w:t xml:space="preserve"> </w:t>
      </w:r>
      <w:proofErr w:type="spellStart"/>
      <w:r>
        <w:rPr>
          <w:rFonts w:ascii="Times New Roman" w:hAnsi="Times New Roman" w:cs="Times New Roman"/>
        </w:rPr>
        <w:t>Kostoris</w:t>
      </w:r>
      <w:proofErr w:type="spellEnd"/>
      <w:r>
        <w:rPr>
          <w:rFonts w:ascii="Times New Roman" w:hAnsi="Times New Roman" w:cs="Times New Roman"/>
        </w:rPr>
        <w:t xml:space="preserve">, </w:t>
      </w:r>
      <w:r>
        <w:rPr>
          <w:rFonts w:ascii="Times New Roman" w:hAnsi="Times New Roman" w:cs="Times New Roman"/>
          <w:i/>
        </w:rPr>
        <w:t>Il giusto processo tra contraddittorio e diritto al silenzio</w:t>
      </w:r>
      <w:r>
        <w:rPr>
          <w:rFonts w:ascii="Times New Roman" w:hAnsi="Times New Roman" w:cs="Times New Roman"/>
        </w:rPr>
        <w:t>, Torino, 2002, p. 99.</w:t>
      </w:r>
    </w:p>
  </w:footnote>
  <w:footnote w:id="29">
    <w:p w:rsidR="000F29E3" w:rsidRPr="00594CD5" w:rsidRDefault="000F29E3" w:rsidP="00213297">
      <w:pPr>
        <w:pStyle w:val="Testonotaapidipagina"/>
        <w:jc w:val="both"/>
        <w:rPr>
          <w:rFonts w:ascii="Times New Roman" w:hAnsi="Times New Roman" w:cs="Times New Roman"/>
        </w:rPr>
      </w:pPr>
      <w:r>
        <w:rPr>
          <w:rFonts w:ascii="Times New Roman" w:hAnsi="Times New Roman" w:cs="Times New Roman"/>
        </w:rPr>
        <w:tab/>
      </w:r>
      <w:r w:rsidRPr="00594CD5">
        <w:rPr>
          <w:rStyle w:val="Rimandonotaapidipagina"/>
          <w:rFonts w:ascii="Times New Roman" w:hAnsi="Times New Roman" w:cs="Times New Roman"/>
        </w:rPr>
        <w:footnoteRef/>
      </w:r>
      <w:r w:rsidRPr="00594CD5">
        <w:rPr>
          <w:rFonts w:ascii="Times New Roman" w:hAnsi="Times New Roman" w:cs="Times New Roman"/>
        </w:rPr>
        <w:t xml:space="preserve"> </w:t>
      </w:r>
      <w:r w:rsidRPr="004657DB">
        <w:rPr>
          <w:rFonts w:ascii="Times New Roman" w:hAnsi="Times New Roman" w:cs="Times New Roman"/>
        </w:rPr>
        <w:t xml:space="preserve">R. Cantone, </w:t>
      </w:r>
      <w:r w:rsidRPr="004657DB">
        <w:rPr>
          <w:rFonts w:ascii="Times New Roman" w:hAnsi="Times New Roman" w:cs="Times New Roman"/>
          <w:i/>
        </w:rPr>
        <w:t>La circolazione probatoria tra procedimenti. Le modifiche introdotte dalla L. 63/01</w:t>
      </w:r>
      <w:r w:rsidRPr="004657DB">
        <w:rPr>
          <w:rFonts w:ascii="Times New Roman" w:hAnsi="Times New Roman" w:cs="Times New Roman"/>
        </w:rPr>
        <w:t xml:space="preserve">, in </w:t>
      </w:r>
      <w:r w:rsidRPr="004657DB">
        <w:rPr>
          <w:rFonts w:ascii="Times New Roman" w:hAnsi="Times New Roman" w:cs="Times New Roman"/>
          <w:i/>
        </w:rPr>
        <w:t xml:space="preserve">Cass. </w:t>
      </w:r>
      <w:proofErr w:type="spellStart"/>
      <w:r>
        <w:rPr>
          <w:rFonts w:ascii="Times New Roman" w:hAnsi="Times New Roman" w:cs="Times New Roman"/>
          <w:i/>
        </w:rPr>
        <w:t>p</w:t>
      </w:r>
      <w:r w:rsidRPr="004657DB">
        <w:rPr>
          <w:rFonts w:ascii="Times New Roman" w:hAnsi="Times New Roman" w:cs="Times New Roman"/>
          <w:i/>
        </w:rPr>
        <w:t>en</w:t>
      </w:r>
      <w:proofErr w:type="spellEnd"/>
      <w:r w:rsidRPr="004657DB">
        <w:rPr>
          <w:rFonts w:ascii="Times New Roman" w:hAnsi="Times New Roman" w:cs="Times New Roman"/>
          <w:i/>
        </w:rPr>
        <w:t>.</w:t>
      </w:r>
      <w:r>
        <w:rPr>
          <w:rFonts w:ascii="Times New Roman" w:hAnsi="Times New Roman" w:cs="Times New Roman"/>
        </w:rPr>
        <w:t>,</w:t>
      </w:r>
      <w:r w:rsidRPr="004657DB">
        <w:rPr>
          <w:rFonts w:ascii="Times New Roman" w:hAnsi="Times New Roman" w:cs="Times New Roman"/>
        </w:rPr>
        <w:t xml:space="preserve"> 2002, </w:t>
      </w:r>
      <w:r>
        <w:rPr>
          <w:rFonts w:ascii="Times New Roman" w:hAnsi="Times New Roman" w:cs="Times New Roman"/>
        </w:rPr>
        <w:t>p</w:t>
      </w:r>
      <w:r w:rsidRPr="004657DB">
        <w:rPr>
          <w:rFonts w:ascii="Times New Roman" w:hAnsi="Times New Roman" w:cs="Times New Roman"/>
        </w:rPr>
        <w:t xml:space="preserve">. 2561; F. </w:t>
      </w:r>
      <w:proofErr w:type="spellStart"/>
      <w:r w:rsidRPr="004657DB">
        <w:rPr>
          <w:rFonts w:ascii="Times New Roman" w:hAnsi="Times New Roman" w:cs="Times New Roman"/>
        </w:rPr>
        <w:t>Cardella</w:t>
      </w:r>
      <w:proofErr w:type="spellEnd"/>
      <w:r w:rsidRPr="004657DB">
        <w:rPr>
          <w:rFonts w:ascii="Times New Roman" w:hAnsi="Times New Roman" w:cs="Times New Roman"/>
        </w:rPr>
        <w:t xml:space="preserve">, </w:t>
      </w:r>
      <w:r w:rsidRPr="004657DB">
        <w:rPr>
          <w:rFonts w:ascii="Times New Roman" w:hAnsi="Times New Roman" w:cs="Times New Roman"/>
          <w:i/>
        </w:rPr>
        <w:t>La circolazione probatoria extraprocessuale</w:t>
      </w:r>
      <w:r w:rsidRPr="004657DB">
        <w:rPr>
          <w:rFonts w:ascii="Times New Roman" w:hAnsi="Times New Roman" w:cs="Times New Roman"/>
        </w:rPr>
        <w:t xml:space="preserve">, in </w:t>
      </w:r>
      <w:r w:rsidRPr="004657DB">
        <w:rPr>
          <w:rFonts w:ascii="Times New Roman" w:hAnsi="Times New Roman" w:cs="Times New Roman"/>
          <w:i/>
        </w:rPr>
        <w:t>Critica penale</w:t>
      </w:r>
      <w:r w:rsidRPr="004657DB">
        <w:rPr>
          <w:rFonts w:ascii="Times New Roman" w:hAnsi="Times New Roman" w:cs="Times New Roman"/>
        </w:rPr>
        <w:t xml:space="preserve"> 2002, 2, </w:t>
      </w:r>
      <w:r>
        <w:rPr>
          <w:rFonts w:ascii="Times New Roman" w:hAnsi="Times New Roman" w:cs="Times New Roman"/>
        </w:rPr>
        <w:t xml:space="preserve">p. </w:t>
      </w:r>
      <w:r w:rsidRPr="004657DB">
        <w:rPr>
          <w:rFonts w:ascii="Times New Roman" w:hAnsi="Times New Roman" w:cs="Times New Roman"/>
        </w:rPr>
        <w:t>145</w:t>
      </w:r>
      <w:r>
        <w:rPr>
          <w:rFonts w:ascii="Times New Roman" w:hAnsi="Times New Roman" w:cs="Times New Roman"/>
        </w:rPr>
        <w:t>.</w:t>
      </w:r>
    </w:p>
  </w:footnote>
  <w:footnote w:id="30">
    <w:p w:rsidR="000F29E3" w:rsidRPr="004657DB" w:rsidRDefault="000F29E3" w:rsidP="003D15CE">
      <w:pPr>
        <w:pStyle w:val="Testonotaapidipagina"/>
        <w:jc w:val="both"/>
        <w:rPr>
          <w:rFonts w:ascii="Times New Roman" w:hAnsi="Times New Roman" w:cs="Times New Roman"/>
        </w:rPr>
      </w:pPr>
      <w:r>
        <w:rPr>
          <w:rFonts w:ascii="Times New Roman" w:hAnsi="Times New Roman" w:cs="Times New Roman"/>
        </w:rPr>
        <w:tab/>
      </w:r>
      <w:r w:rsidRPr="004657DB">
        <w:rPr>
          <w:rStyle w:val="Rimandonotaapidipagina"/>
          <w:rFonts w:ascii="Times New Roman" w:hAnsi="Times New Roman" w:cs="Times New Roman"/>
        </w:rPr>
        <w:footnoteRef/>
      </w:r>
      <w:r w:rsidRPr="004657DB">
        <w:rPr>
          <w:rFonts w:ascii="Times New Roman" w:hAnsi="Times New Roman" w:cs="Times New Roman"/>
        </w:rPr>
        <w:t xml:space="preserve"> </w:t>
      </w:r>
      <w:r>
        <w:rPr>
          <w:rFonts w:ascii="Times New Roman" w:hAnsi="Times New Roman" w:cs="Times New Roman"/>
        </w:rPr>
        <w:t xml:space="preserve">Come nota R. De Matteo, </w:t>
      </w:r>
      <w:r>
        <w:rPr>
          <w:rFonts w:ascii="Times New Roman" w:hAnsi="Times New Roman" w:cs="Times New Roman"/>
          <w:i/>
        </w:rPr>
        <w:t>In tema di trasmigrazione probatoria</w:t>
      </w:r>
      <w:r>
        <w:rPr>
          <w:rFonts w:ascii="Times New Roman" w:hAnsi="Times New Roman" w:cs="Times New Roman"/>
        </w:rPr>
        <w:t xml:space="preserve">, cit., p. 3, richiamando il pensiero di N. Rombi, </w:t>
      </w:r>
      <w:r>
        <w:rPr>
          <w:rFonts w:ascii="Times New Roman" w:hAnsi="Times New Roman" w:cs="Times New Roman"/>
          <w:i/>
        </w:rPr>
        <w:t>La circolazione delle prove penali</w:t>
      </w:r>
      <w:r>
        <w:rPr>
          <w:rFonts w:ascii="Times New Roman" w:hAnsi="Times New Roman" w:cs="Times New Roman"/>
        </w:rPr>
        <w:t>, Padova, 2003, p. 82.</w:t>
      </w:r>
    </w:p>
  </w:footnote>
  <w:footnote w:id="31">
    <w:p w:rsidR="000F29E3" w:rsidRPr="00706A86" w:rsidRDefault="000F29E3" w:rsidP="004016BA">
      <w:pPr>
        <w:pStyle w:val="Testonotaapidipagina"/>
        <w:jc w:val="both"/>
        <w:rPr>
          <w:rFonts w:ascii="Times New Roman" w:hAnsi="Times New Roman" w:cs="Times New Roman"/>
        </w:rPr>
      </w:pPr>
      <w:r>
        <w:rPr>
          <w:rFonts w:ascii="Times New Roman" w:hAnsi="Times New Roman" w:cs="Times New Roman"/>
        </w:rPr>
        <w:tab/>
      </w:r>
      <w:r w:rsidRPr="00706A86">
        <w:rPr>
          <w:rStyle w:val="Rimandonotaapidipagina"/>
          <w:rFonts w:ascii="Times New Roman" w:hAnsi="Times New Roman" w:cs="Times New Roman"/>
        </w:rPr>
        <w:footnoteRef/>
      </w:r>
      <w:r w:rsidRPr="00706A86">
        <w:rPr>
          <w:rFonts w:ascii="Times New Roman" w:hAnsi="Times New Roman" w:cs="Times New Roman"/>
        </w:rPr>
        <w:t xml:space="preserve"> </w:t>
      </w:r>
      <w:r>
        <w:rPr>
          <w:rFonts w:ascii="Times New Roman" w:hAnsi="Times New Roman" w:cs="Times New Roman"/>
        </w:rPr>
        <w:t xml:space="preserve">Sul punto, F. </w:t>
      </w:r>
      <w:proofErr w:type="spellStart"/>
      <w:r>
        <w:rPr>
          <w:rFonts w:ascii="Times New Roman" w:hAnsi="Times New Roman" w:cs="Times New Roman"/>
        </w:rPr>
        <w:t>Costantini</w:t>
      </w:r>
      <w:proofErr w:type="spellEnd"/>
      <w:r>
        <w:rPr>
          <w:rFonts w:ascii="Times New Roman" w:hAnsi="Times New Roman" w:cs="Times New Roman"/>
        </w:rPr>
        <w:t xml:space="preserve">, </w:t>
      </w:r>
      <w:r>
        <w:rPr>
          <w:rFonts w:ascii="Times New Roman" w:hAnsi="Times New Roman" w:cs="Times New Roman"/>
          <w:i/>
        </w:rPr>
        <w:t xml:space="preserve">L'intervento in </w:t>
      </w:r>
      <w:proofErr w:type="spellStart"/>
      <w:r>
        <w:rPr>
          <w:rFonts w:ascii="Times New Roman" w:hAnsi="Times New Roman" w:cs="Times New Roman"/>
          <w:i/>
        </w:rPr>
        <w:t>executivis</w:t>
      </w:r>
      <w:proofErr w:type="spellEnd"/>
      <w:r>
        <w:rPr>
          <w:rFonts w:ascii="Times New Roman" w:hAnsi="Times New Roman" w:cs="Times New Roman"/>
          <w:i/>
        </w:rPr>
        <w:t xml:space="preserve"> per erronea applicazione di una pena accessoria tra principio di legalità e intangibilità del giudicato: la decisione delle Sezioni Unite</w:t>
      </w:r>
      <w:r>
        <w:rPr>
          <w:rFonts w:ascii="Times New Roman" w:hAnsi="Times New Roman" w:cs="Times New Roman"/>
        </w:rPr>
        <w:t xml:space="preserve">, in </w:t>
      </w:r>
      <w:r>
        <w:rPr>
          <w:rFonts w:ascii="Times New Roman" w:hAnsi="Times New Roman" w:cs="Times New Roman"/>
          <w:i/>
        </w:rPr>
        <w:t xml:space="preserve">Cass. </w:t>
      </w:r>
      <w:proofErr w:type="spellStart"/>
      <w:r>
        <w:rPr>
          <w:rFonts w:ascii="Times New Roman" w:hAnsi="Times New Roman" w:cs="Times New Roman"/>
          <w:i/>
        </w:rPr>
        <w:t>pen</w:t>
      </w:r>
      <w:proofErr w:type="spellEnd"/>
      <w:r>
        <w:rPr>
          <w:rFonts w:ascii="Times New Roman" w:hAnsi="Times New Roman" w:cs="Times New Roman"/>
          <w:i/>
        </w:rPr>
        <w:t>.</w:t>
      </w:r>
      <w:r>
        <w:rPr>
          <w:rFonts w:ascii="Times New Roman" w:hAnsi="Times New Roman" w:cs="Times New Roman"/>
        </w:rPr>
        <w:t>, 2015, p. 2582.</w:t>
      </w:r>
    </w:p>
  </w:footnote>
  <w:footnote w:id="32">
    <w:p w:rsidR="000F29E3" w:rsidRPr="00B039D0" w:rsidRDefault="000F29E3" w:rsidP="004016BA">
      <w:pPr>
        <w:pStyle w:val="Testonotaapidipagina"/>
        <w:jc w:val="both"/>
        <w:rPr>
          <w:rFonts w:ascii="Times New Roman" w:hAnsi="Times New Roman" w:cs="Times New Roman"/>
        </w:rPr>
      </w:pPr>
      <w:r>
        <w:rPr>
          <w:rFonts w:ascii="Times New Roman" w:hAnsi="Times New Roman" w:cs="Times New Roman"/>
        </w:rPr>
        <w:tab/>
      </w:r>
      <w:r w:rsidRPr="00706A86">
        <w:rPr>
          <w:rStyle w:val="Rimandonotaapidipagina"/>
          <w:rFonts w:ascii="Times New Roman" w:hAnsi="Times New Roman" w:cs="Times New Roman"/>
        </w:rPr>
        <w:footnoteRef/>
      </w:r>
      <w:r w:rsidRPr="00706A86">
        <w:rPr>
          <w:rFonts w:ascii="Times New Roman" w:hAnsi="Times New Roman" w:cs="Times New Roman"/>
        </w:rPr>
        <w:t xml:space="preserve"> </w:t>
      </w:r>
      <w:r>
        <w:rPr>
          <w:rFonts w:ascii="Times New Roman" w:hAnsi="Times New Roman" w:cs="Times New Roman"/>
        </w:rPr>
        <w:t xml:space="preserve">G. </w:t>
      </w:r>
      <w:proofErr w:type="spellStart"/>
      <w:r>
        <w:rPr>
          <w:rFonts w:ascii="Times New Roman" w:hAnsi="Times New Roman" w:cs="Times New Roman"/>
        </w:rPr>
        <w:t>Chiovenda</w:t>
      </w:r>
      <w:proofErr w:type="spellEnd"/>
      <w:r>
        <w:rPr>
          <w:rFonts w:ascii="Times New Roman" w:hAnsi="Times New Roman" w:cs="Times New Roman"/>
        </w:rPr>
        <w:t>,</w:t>
      </w:r>
      <w:r>
        <w:rPr>
          <w:rFonts w:ascii="Times New Roman" w:hAnsi="Times New Roman" w:cs="Times New Roman"/>
          <w:i/>
        </w:rPr>
        <w:t xml:space="preserve"> Istituzioni di diritto processuale civile</w:t>
      </w:r>
      <w:r>
        <w:rPr>
          <w:rFonts w:ascii="Times New Roman" w:hAnsi="Times New Roman" w:cs="Times New Roman"/>
        </w:rPr>
        <w:t xml:space="preserve">, Napoli, 1933, p. 342, e anche V. </w:t>
      </w:r>
      <w:proofErr w:type="spellStart"/>
      <w:r>
        <w:rPr>
          <w:rFonts w:ascii="Times New Roman" w:hAnsi="Times New Roman" w:cs="Times New Roman"/>
        </w:rPr>
        <w:t>Andrioli</w:t>
      </w:r>
      <w:proofErr w:type="spellEnd"/>
      <w:r>
        <w:rPr>
          <w:rFonts w:ascii="Times New Roman" w:hAnsi="Times New Roman" w:cs="Times New Roman"/>
        </w:rPr>
        <w:t xml:space="preserve">, </w:t>
      </w:r>
      <w:r>
        <w:rPr>
          <w:rFonts w:ascii="Times New Roman" w:hAnsi="Times New Roman" w:cs="Times New Roman"/>
          <w:i/>
        </w:rPr>
        <w:t>Diritto processuale civile, vol. I</w:t>
      </w:r>
      <w:r>
        <w:rPr>
          <w:rFonts w:ascii="Times New Roman" w:hAnsi="Times New Roman" w:cs="Times New Roman"/>
        </w:rPr>
        <w:t xml:space="preserve">, Napoli, 1979, p. 993. Per un'analisi del tema, anche M. Ragni, </w:t>
      </w:r>
      <w:r>
        <w:rPr>
          <w:rFonts w:ascii="Times New Roman" w:hAnsi="Times New Roman" w:cs="Times New Roman"/>
          <w:i/>
        </w:rPr>
        <w:t>Il giudicato implicito ed il principio della ragione più liquida: i confini mobili del giudicato nella giurisprudenza</w:t>
      </w:r>
      <w:r>
        <w:rPr>
          <w:rFonts w:ascii="Times New Roman" w:hAnsi="Times New Roman" w:cs="Times New Roman"/>
        </w:rPr>
        <w:t xml:space="preserve">, in </w:t>
      </w:r>
      <w:proofErr w:type="spellStart"/>
      <w:r>
        <w:rPr>
          <w:rFonts w:ascii="Times New Roman" w:hAnsi="Times New Roman" w:cs="Times New Roman"/>
          <w:i/>
        </w:rPr>
        <w:t>Riv</w:t>
      </w:r>
      <w:proofErr w:type="spellEnd"/>
      <w:r>
        <w:rPr>
          <w:rFonts w:ascii="Times New Roman" w:hAnsi="Times New Roman" w:cs="Times New Roman"/>
          <w:i/>
        </w:rPr>
        <w:t>. trim. dir. proc. civ.</w:t>
      </w:r>
      <w:r>
        <w:rPr>
          <w:rFonts w:ascii="Times New Roman" w:hAnsi="Times New Roman" w:cs="Times New Roman"/>
        </w:rPr>
        <w:t>, 2015, p. 647 ss..</w:t>
      </w:r>
    </w:p>
  </w:footnote>
  <w:footnote w:id="33">
    <w:p w:rsidR="000F29E3" w:rsidRPr="003D7C3D" w:rsidRDefault="000F29E3" w:rsidP="004016BA">
      <w:pPr>
        <w:pStyle w:val="Testonotaapidipagina"/>
        <w:ind w:firstLine="708"/>
        <w:jc w:val="both"/>
        <w:rPr>
          <w:rFonts w:ascii="Times New Roman" w:hAnsi="Times New Roman" w:cs="Times New Roman"/>
        </w:rPr>
      </w:pPr>
      <w:r w:rsidRPr="003D7C3D">
        <w:rPr>
          <w:rStyle w:val="Rimandonotaapidipagina"/>
          <w:rFonts w:ascii="Times New Roman" w:hAnsi="Times New Roman" w:cs="Times New Roman"/>
        </w:rPr>
        <w:footnoteRef/>
      </w:r>
      <w:r w:rsidRPr="003D7C3D">
        <w:rPr>
          <w:rFonts w:ascii="Times New Roman" w:hAnsi="Times New Roman" w:cs="Times New Roman"/>
        </w:rPr>
        <w:t xml:space="preserve"> </w:t>
      </w:r>
      <w:r>
        <w:rPr>
          <w:rFonts w:ascii="Times New Roman" w:hAnsi="Times New Roman" w:cs="Times New Roman"/>
        </w:rPr>
        <w:t xml:space="preserve">Chiaramente, l’esposizione non tiene conto dell’eventuale consenso dell’imputato che, a mente dell’art. 238, comma 4, </w:t>
      </w:r>
      <w:proofErr w:type="spellStart"/>
      <w:r>
        <w:rPr>
          <w:rFonts w:ascii="Times New Roman" w:hAnsi="Times New Roman" w:cs="Times New Roman"/>
        </w:rPr>
        <w:t>c.p.p.</w:t>
      </w:r>
      <w:proofErr w:type="spellEnd"/>
      <w:r>
        <w:rPr>
          <w:rFonts w:ascii="Times New Roman" w:hAnsi="Times New Roman" w:cs="Times New Roman"/>
        </w:rPr>
        <w:t xml:space="preserve">, permetterebbe di acquisire la prova indipendentemente da quanto previsto dai commi 1, 2, 2-bis e 3. Sul tema, </w:t>
      </w:r>
      <w:proofErr w:type="spellStart"/>
      <w:r>
        <w:rPr>
          <w:rFonts w:ascii="Times New Roman" w:hAnsi="Times New Roman" w:cs="Times New Roman"/>
          <w:i/>
        </w:rPr>
        <w:t>amplius</w:t>
      </w:r>
      <w:proofErr w:type="spellEnd"/>
      <w:r>
        <w:rPr>
          <w:rFonts w:ascii="Times New Roman" w:hAnsi="Times New Roman" w:cs="Times New Roman"/>
        </w:rPr>
        <w:t xml:space="preserve"> e, tra i tanti, F.M. </w:t>
      </w:r>
      <w:proofErr w:type="spellStart"/>
      <w:r>
        <w:rPr>
          <w:rFonts w:ascii="Times New Roman" w:hAnsi="Times New Roman" w:cs="Times New Roman"/>
        </w:rPr>
        <w:t>Grifantini</w:t>
      </w:r>
      <w:proofErr w:type="spellEnd"/>
      <w:r>
        <w:rPr>
          <w:rFonts w:ascii="Times New Roman" w:hAnsi="Times New Roman" w:cs="Times New Roman"/>
        </w:rPr>
        <w:t xml:space="preserve">, </w:t>
      </w:r>
      <w:r>
        <w:rPr>
          <w:rFonts w:ascii="Times New Roman" w:hAnsi="Times New Roman" w:cs="Times New Roman"/>
          <w:i/>
        </w:rPr>
        <w:t>Utilizzabilità in dibattimento degli atti provenienti dalle fasi anteriori</w:t>
      </w:r>
      <w:r>
        <w:rPr>
          <w:rFonts w:ascii="Times New Roman" w:hAnsi="Times New Roman" w:cs="Times New Roman"/>
        </w:rPr>
        <w:t xml:space="preserve">, in P. </w:t>
      </w:r>
      <w:proofErr w:type="spellStart"/>
      <w:r>
        <w:rPr>
          <w:rFonts w:ascii="Times New Roman" w:hAnsi="Times New Roman" w:cs="Times New Roman"/>
        </w:rPr>
        <w:t>Ferrua</w:t>
      </w:r>
      <w:proofErr w:type="spellEnd"/>
      <w:r>
        <w:rPr>
          <w:rFonts w:ascii="Times New Roman" w:hAnsi="Times New Roman" w:cs="Times New Roman"/>
        </w:rPr>
        <w:t xml:space="preserve">, F.M. </w:t>
      </w:r>
      <w:proofErr w:type="spellStart"/>
      <w:r>
        <w:rPr>
          <w:rFonts w:ascii="Times New Roman" w:hAnsi="Times New Roman" w:cs="Times New Roman"/>
        </w:rPr>
        <w:t>Grifantini</w:t>
      </w:r>
      <w:proofErr w:type="spellEnd"/>
      <w:r>
        <w:rPr>
          <w:rFonts w:ascii="Times New Roman" w:hAnsi="Times New Roman" w:cs="Times New Roman"/>
        </w:rPr>
        <w:t xml:space="preserve">, G. Illuminati, R. Orlandi, </w:t>
      </w:r>
      <w:r>
        <w:rPr>
          <w:rFonts w:ascii="Times New Roman" w:hAnsi="Times New Roman" w:cs="Times New Roman"/>
          <w:i/>
        </w:rPr>
        <w:t>La prova nel dibattimento penale</w:t>
      </w:r>
      <w:r>
        <w:rPr>
          <w:rFonts w:ascii="Times New Roman" w:hAnsi="Times New Roman" w:cs="Times New Roman"/>
        </w:rPr>
        <w:t xml:space="preserve">, Torino, 2010, p. 204, o anche C. De Angelis, </w:t>
      </w:r>
      <w:r>
        <w:rPr>
          <w:rFonts w:ascii="Times New Roman" w:hAnsi="Times New Roman" w:cs="Times New Roman"/>
          <w:i/>
        </w:rPr>
        <w:t>Processo civile e processo penale</w:t>
      </w:r>
      <w:r>
        <w:rPr>
          <w:rFonts w:ascii="Times New Roman" w:hAnsi="Times New Roman" w:cs="Times New Roman"/>
        </w:rPr>
        <w:t>, Torino, 2009, p. 121.</w:t>
      </w:r>
    </w:p>
  </w:footnote>
  <w:footnote w:id="34">
    <w:p w:rsidR="000F29E3" w:rsidRPr="003D15CE" w:rsidRDefault="000F29E3" w:rsidP="003D15CE">
      <w:pPr>
        <w:pStyle w:val="Testonotaapidipagina"/>
        <w:jc w:val="both"/>
        <w:rPr>
          <w:rFonts w:ascii="Times New Roman" w:hAnsi="Times New Roman" w:cs="Times New Roman"/>
        </w:rPr>
      </w:pPr>
      <w:r>
        <w:rPr>
          <w:rFonts w:ascii="Times New Roman" w:hAnsi="Times New Roman" w:cs="Times New Roman"/>
        </w:rPr>
        <w:tab/>
      </w:r>
      <w:r w:rsidRPr="003D15CE">
        <w:rPr>
          <w:rStyle w:val="Rimandonotaapidipagina"/>
          <w:rFonts w:ascii="Times New Roman" w:hAnsi="Times New Roman" w:cs="Times New Roman"/>
        </w:rPr>
        <w:footnoteRef/>
      </w:r>
      <w:r w:rsidRPr="003D15CE">
        <w:rPr>
          <w:rFonts w:ascii="Times New Roman" w:hAnsi="Times New Roman" w:cs="Times New Roman"/>
        </w:rPr>
        <w:t xml:space="preserve"> </w:t>
      </w:r>
      <w:r>
        <w:rPr>
          <w:rFonts w:ascii="Times New Roman" w:hAnsi="Times New Roman" w:cs="Times New Roman"/>
        </w:rPr>
        <w:t xml:space="preserve">Cass., sez. V, 10 novembre 2003, n. 48272, in </w:t>
      </w:r>
      <w:proofErr w:type="spellStart"/>
      <w:r>
        <w:rPr>
          <w:rFonts w:ascii="Times New Roman" w:hAnsi="Times New Roman" w:cs="Times New Roman"/>
          <w:i/>
        </w:rPr>
        <w:t>Dejure</w:t>
      </w:r>
      <w:proofErr w:type="spellEnd"/>
      <w:r>
        <w:rPr>
          <w:rFonts w:ascii="Times New Roman" w:hAnsi="Times New Roman" w:cs="Times New Roman"/>
        </w:rPr>
        <w:t>, secondo la quale «</w:t>
      </w:r>
      <w:r w:rsidRPr="003D15CE">
        <w:rPr>
          <w:rFonts w:ascii="Times New Roman" w:hAnsi="Times New Roman" w:cs="Times New Roman"/>
        </w:rPr>
        <w:t>Poiché la citata disposizione non postula che il consenso venga espresso personalmente dall'imputato, deve ritenersi sufficiente e rilevante ai fini che interessano anche quello prestato dal difensore, al quale, ai sensi dell'art. 99 </w:t>
      </w:r>
      <w:proofErr w:type="spellStart"/>
      <w:r w:rsidRPr="003D15CE">
        <w:rPr>
          <w:rFonts w:ascii="Times New Roman" w:hAnsi="Times New Roman" w:cs="Times New Roman"/>
          <w:bCs/>
        </w:rPr>
        <w:t>c.p.p</w:t>
      </w:r>
      <w:r>
        <w:rPr>
          <w:rFonts w:ascii="Times New Roman" w:hAnsi="Times New Roman" w:cs="Times New Roman"/>
        </w:rPr>
        <w:t>.</w:t>
      </w:r>
      <w:proofErr w:type="spellEnd"/>
      <w:r w:rsidRPr="003D15CE">
        <w:rPr>
          <w:rFonts w:ascii="Times New Roman" w:hAnsi="Times New Roman" w:cs="Times New Roman"/>
        </w:rPr>
        <w:t xml:space="preserve"> competono le facoltà ed i diritti che la legge riconosce all'imputato a meno che essi siano riservati a quest'ultimo; d'altro canto la mancata previsione di una siffatta riserva trova spiegazione nel fatto che proprio al difensore spetta la valutazione dal punto di vista tecnico dell'</w:t>
      </w:r>
      <w:r>
        <w:rPr>
          <w:rFonts w:ascii="Times New Roman" w:hAnsi="Times New Roman" w:cs="Times New Roman"/>
        </w:rPr>
        <w:t xml:space="preserve">opportunità della scelta </w:t>
      </w:r>
      <w:r w:rsidRPr="003D15CE">
        <w:rPr>
          <w:rFonts w:ascii="Times New Roman" w:hAnsi="Times New Roman" w:cs="Times New Roman"/>
          <w:i/>
        </w:rPr>
        <w:t>de qua</w:t>
      </w:r>
      <w:r>
        <w:rPr>
          <w:rFonts w:ascii="Times New Roman" w:hAnsi="Times New Roman" w:cs="Times New Roman"/>
        </w:rPr>
        <w:t>».</w:t>
      </w:r>
    </w:p>
  </w:footnote>
  <w:footnote w:id="35">
    <w:p w:rsidR="000F29E3" w:rsidRPr="003D15CE" w:rsidRDefault="000F29E3" w:rsidP="003D15CE">
      <w:pPr>
        <w:pStyle w:val="Testonotaapidipagina"/>
        <w:jc w:val="both"/>
        <w:rPr>
          <w:rFonts w:ascii="Times New Roman" w:hAnsi="Times New Roman" w:cs="Times New Roman"/>
        </w:rPr>
      </w:pPr>
      <w:r>
        <w:rPr>
          <w:rFonts w:ascii="Times New Roman" w:hAnsi="Times New Roman" w:cs="Times New Roman"/>
        </w:rPr>
        <w:tab/>
      </w:r>
      <w:r w:rsidRPr="003D15CE">
        <w:rPr>
          <w:rStyle w:val="Rimandonotaapidipagina"/>
          <w:rFonts w:ascii="Times New Roman" w:hAnsi="Times New Roman" w:cs="Times New Roman"/>
        </w:rPr>
        <w:footnoteRef/>
      </w:r>
      <w:r w:rsidRPr="003D15CE">
        <w:rPr>
          <w:rFonts w:ascii="Times New Roman" w:hAnsi="Times New Roman" w:cs="Times New Roman"/>
        </w:rPr>
        <w:t xml:space="preserve"> </w:t>
      </w:r>
      <w:r>
        <w:rPr>
          <w:rFonts w:ascii="Times New Roman" w:hAnsi="Times New Roman" w:cs="Times New Roman"/>
        </w:rPr>
        <w:t xml:space="preserve">Secondo una regola generale che trova, nel processo italiano, altre possibili declinazioni: si pensi al caso degli atti istruttori compiuti prima del mutamento del collegio giudicante e leggibili, in seguito, a soli fini di contestazione, anche quando l'imputato non abbia prestato il consenso alla loro utilizzabilità. Traccia questo parallelismo, Cass., sez. V, 29 aprile 2014, n. 38734, dalla banca dati </w:t>
      </w:r>
      <w:proofErr w:type="spellStart"/>
      <w:r>
        <w:rPr>
          <w:rFonts w:ascii="Times New Roman" w:hAnsi="Times New Roman" w:cs="Times New Roman"/>
          <w:i/>
        </w:rPr>
        <w:t>Dejure</w:t>
      </w:r>
      <w:proofErr w:type="spellEnd"/>
      <w:r>
        <w:rPr>
          <w:rFonts w:ascii="Times New Roman" w:hAnsi="Times New Roman" w:cs="Times New Roman"/>
        </w:rPr>
        <w:t>.</w:t>
      </w:r>
    </w:p>
  </w:footnote>
  <w:footnote w:id="36">
    <w:p w:rsidR="000F29E3" w:rsidRPr="00A54371" w:rsidRDefault="000F29E3" w:rsidP="00A54371">
      <w:pPr>
        <w:pStyle w:val="Testonotaapidipagina"/>
        <w:jc w:val="both"/>
        <w:rPr>
          <w:rFonts w:ascii="Times New Roman" w:hAnsi="Times New Roman" w:cs="Times New Roman"/>
        </w:rPr>
      </w:pPr>
      <w:r>
        <w:rPr>
          <w:rFonts w:ascii="Times New Roman" w:hAnsi="Times New Roman" w:cs="Times New Roman"/>
        </w:rPr>
        <w:tab/>
      </w:r>
      <w:r w:rsidRPr="00A54371">
        <w:rPr>
          <w:rStyle w:val="Rimandonotaapidipagina"/>
          <w:rFonts w:ascii="Times New Roman" w:hAnsi="Times New Roman" w:cs="Times New Roman"/>
        </w:rPr>
        <w:footnoteRef/>
      </w:r>
      <w:r w:rsidRPr="00A54371">
        <w:rPr>
          <w:rFonts w:ascii="Times New Roman" w:hAnsi="Times New Roman" w:cs="Times New Roman"/>
        </w:rPr>
        <w:t xml:space="preserve"> </w:t>
      </w:r>
      <w:r>
        <w:rPr>
          <w:rFonts w:ascii="Times New Roman" w:hAnsi="Times New Roman" w:cs="Times New Roman"/>
        </w:rPr>
        <w:t xml:space="preserve">P. </w:t>
      </w:r>
      <w:proofErr w:type="spellStart"/>
      <w:r>
        <w:rPr>
          <w:rFonts w:ascii="Times New Roman" w:hAnsi="Times New Roman" w:cs="Times New Roman"/>
        </w:rPr>
        <w:t>Ferrua</w:t>
      </w:r>
      <w:proofErr w:type="spellEnd"/>
      <w:r>
        <w:rPr>
          <w:rFonts w:ascii="Times New Roman" w:hAnsi="Times New Roman" w:cs="Times New Roman"/>
        </w:rPr>
        <w:t xml:space="preserve">, </w:t>
      </w:r>
      <w:r>
        <w:rPr>
          <w:rFonts w:ascii="Times New Roman" w:hAnsi="Times New Roman" w:cs="Times New Roman"/>
          <w:i/>
        </w:rPr>
        <w:t>Il contraddittorio tra declino della legge e tirannia del diritto vivente</w:t>
      </w:r>
      <w:r>
        <w:rPr>
          <w:rFonts w:ascii="Times New Roman" w:hAnsi="Times New Roman" w:cs="Times New Roman"/>
        </w:rPr>
        <w:t xml:space="preserve">, in D. Negri, R. Orlandi, </w:t>
      </w:r>
      <w:r>
        <w:rPr>
          <w:rFonts w:ascii="Times New Roman" w:hAnsi="Times New Roman" w:cs="Times New Roman"/>
          <w:i/>
        </w:rPr>
        <w:t>Le erosioni silenziose del contraddittorio</w:t>
      </w:r>
      <w:r>
        <w:rPr>
          <w:rFonts w:ascii="Times New Roman" w:hAnsi="Times New Roman" w:cs="Times New Roman"/>
        </w:rPr>
        <w:t>, Torino, 2017, p. 4.</w:t>
      </w:r>
    </w:p>
  </w:footnote>
  <w:footnote w:id="37">
    <w:p w:rsidR="000F29E3" w:rsidRPr="00A54371" w:rsidRDefault="000F29E3" w:rsidP="00A54371">
      <w:pPr>
        <w:pStyle w:val="Testonotaapidipagina"/>
        <w:jc w:val="both"/>
        <w:rPr>
          <w:rFonts w:ascii="Times New Roman" w:hAnsi="Times New Roman" w:cs="Times New Roman"/>
        </w:rPr>
      </w:pPr>
      <w:r>
        <w:rPr>
          <w:rFonts w:ascii="Times New Roman" w:hAnsi="Times New Roman" w:cs="Times New Roman"/>
        </w:rPr>
        <w:tab/>
      </w:r>
      <w:r w:rsidRPr="00A54371">
        <w:rPr>
          <w:rStyle w:val="Rimandonotaapidipagina"/>
          <w:rFonts w:ascii="Times New Roman" w:hAnsi="Times New Roman" w:cs="Times New Roman"/>
        </w:rPr>
        <w:footnoteRef/>
      </w:r>
      <w:r w:rsidRPr="00A54371">
        <w:rPr>
          <w:rFonts w:ascii="Times New Roman" w:hAnsi="Times New Roman" w:cs="Times New Roman"/>
        </w:rPr>
        <w:t xml:space="preserve"> </w:t>
      </w:r>
      <w:r>
        <w:rPr>
          <w:rFonts w:ascii="Times New Roman" w:hAnsi="Times New Roman" w:cs="Times New Roman"/>
        </w:rPr>
        <w:t xml:space="preserve">Sempre P. </w:t>
      </w:r>
      <w:proofErr w:type="spellStart"/>
      <w:r>
        <w:rPr>
          <w:rFonts w:ascii="Times New Roman" w:hAnsi="Times New Roman" w:cs="Times New Roman"/>
        </w:rPr>
        <w:t>Ferrua</w:t>
      </w:r>
      <w:proofErr w:type="spellEnd"/>
      <w:r>
        <w:rPr>
          <w:rFonts w:ascii="Times New Roman" w:hAnsi="Times New Roman" w:cs="Times New Roman"/>
        </w:rPr>
        <w:t xml:space="preserve">, </w:t>
      </w:r>
      <w:r>
        <w:rPr>
          <w:rFonts w:ascii="Times New Roman" w:hAnsi="Times New Roman" w:cs="Times New Roman"/>
          <w:i/>
        </w:rPr>
        <w:t>Il contraddittorio tra declino della legge</w:t>
      </w:r>
      <w:r>
        <w:rPr>
          <w:rFonts w:ascii="Times New Roman" w:hAnsi="Times New Roman" w:cs="Times New Roman"/>
        </w:rPr>
        <w:t>, cit., p. 4.</w:t>
      </w:r>
    </w:p>
  </w:footnote>
  <w:footnote w:id="38">
    <w:p w:rsidR="000F29E3" w:rsidRPr="0016632D" w:rsidRDefault="000F29E3" w:rsidP="00A54371">
      <w:pPr>
        <w:pStyle w:val="Testonotaapidipagina"/>
        <w:jc w:val="both"/>
        <w:rPr>
          <w:rFonts w:ascii="Times New Roman" w:hAnsi="Times New Roman" w:cs="Times New Roman"/>
        </w:rPr>
      </w:pPr>
      <w:r>
        <w:rPr>
          <w:rFonts w:ascii="Times New Roman" w:hAnsi="Times New Roman" w:cs="Times New Roman"/>
        </w:rPr>
        <w:tab/>
      </w:r>
      <w:r w:rsidRPr="00A54371">
        <w:rPr>
          <w:rStyle w:val="Rimandonotaapidipagina"/>
          <w:rFonts w:ascii="Times New Roman" w:hAnsi="Times New Roman" w:cs="Times New Roman"/>
        </w:rPr>
        <w:footnoteRef/>
      </w:r>
      <w:r w:rsidRPr="00A54371">
        <w:rPr>
          <w:rFonts w:ascii="Times New Roman" w:hAnsi="Times New Roman" w:cs="Times New Roman"/>
        </w:rPr>
        <w:t xml:space="preserve"> </w:t>
      </w:r>
      <w:r>
        <w:rPr>
          <w:rFonts w:ascii="Times New Roman" w:hAnsi="Times New Roman" w:cs="Times New Roman"/>
        </w:rPr>
        <w:t xml:space="preserve">Ancorché estraneo all'ambito familiare si pensi all'ipotesi delle immissioni, previste dall'art. 844 c.c. e potenzialmente integranti la fattispecie penale dell'art. 674 </w:t>
      </w:r>
      <w:proofErr w:type="spellStart"/>
      <w:r>
        <w:rPr>
          <w:rFonts w:ascii="Times New Roman" w:hAnsi="Times New Roman" w:cs="Times New Roman"/>
        </w:rPr>
        <w:t>c.p</w:t>
      </w:r>
      <w:proofErr w:type="spellEnd"/>
      <w:r>
        <w:rPr>
          <w:rFonts w:ascii="Times New Roman" w:hAnsi="Times New Roman" w:cs="Times New Roman"/>
        </w:rPr>
        <w:t>.. Ora, ipotizzando la coesistenza di due giudizi, civile e penale, in ragione di un episodio di fumi che, uscendo da un camino, turbano la quotidianità dell'</w:t>
      </w:r>
      <w:proofErr w:type="spellStart"/>
      <w:r>
        <w:rPr>
          <w:rFonts w:ascii="Times New Roman" w:hAnsi="Times New Roman" w:cs="Times New Roman"/>
        </w:rPr>
        <w:t>abitazine</w:t>
      </w:r>
      <w:proofErr w:type="spellEnd"/>
      <w:r>
        <w:rPr>
          <w:rFonts w:ascii="Times New Roman" w:hAnsi="Times New Roman" w:cs="Times New Roman"/>
        </w:rPr>
        <w:t xml:space="preserve"> vicina, è ben possibile che nei due contenziosi vengano sentiti i medesimi testimoni, pur, però, secondo le diverse regole dei casi e, magari, permettendo ai due giudici di addivenire a risultati diametralmente opposti in punto di valutazione delle responsabilità. </w:t>
      </w:r>
      <w:r w:rsidRPr="0016632D">
        <w:rPr>
          <w:rFonts w:ascii="Times New Roman" w:hAnsi="Times New Roman" w:cs="Times New Roman"/>
        </w:rPr>
        <w:t>Insomma, l'ovvia circostanza per cui ciascun giudice è libero di valutare l'attività assertiva e quella istruttoria delle parti si coniuga con la diversità di forme e procedure dei giudizi civile e penale</w:t>
      </w:r>
      <w:r>
        <w:rPr>
          <w:rFonts w:ascii="Times New Roman" w:hAnsi="Times New Roman" w:cs="Times New Roman"/>
        </w:rPr>
        <w:t xml:space="preserve">. Su un caso analogo, le due sentenze, l'una del Giudice di pace di Ferrara, 17 novembre 2015, </w:t>
      </w:r>
      <w:r w:rsidRPr="0016632D">
        <w:rPr>
          <w:rFonts w:ascii="Times New Roman" w:hAnsi="Times New Roman" w:cs="Times New Roman"/>
          <w:i/>
        </w:rPr>
        <w:t>inedita</w:t>
      </w:r>
      <w:r>
        <w:rPr>
          <w:rFonts w:ascii="Times New Roman" w:hAnsi="Times New Roman" w:cs="Times New Roman"/>
        </w:rPr>
        <w:t xml:space="preserve">, che riteneva non provate le immissioni </w:t>
      </w:r>
      <w:r>
        <w:rPr>
          <w:rFonts w:ascii="Times New Roman" w:hAnsi="Times New Roman" w:cs="Times New Roman"/>
          <w:i/>
        </w:rPr>
        <w:t>ex</w:t>
      </w:r>
      <w:r>
        <w:rPr>
          <w:rFonts w:ascii="Times New Roman" w:hAnsi="Times New Roman" w:cs="Times New Roman"/>
        </w:rPr>
        <w:t xml:space="preserve"> art. 844 c.c. e l'altra, del Tribunale di Ferrara, 13 gennaio 2016, </w:t>
      </w:r>
      <w:r w:rsidRPr="0016632D">
        <w:rPr>
          <w:rFonts w:ascii="Times New Roman" w:hAnsi="Times New Roman" w:cs="Times New Roman"/>
          <w:i/>
        </w:rPr>
        <w:t>inedita</w:t>
      </w:r>
      <w:r>
        <w:rPr>
          <w:rFonts w:ascii="Times New Roman" w:hAnsi="Times New Roman" w:cs="Times New Roman"/>
        </w:rPr>
        <w:t xml:space="preserve">, che condannava i proprietari del camino per il fatto dell'art. 674 </w:t>
      </w:r>
      <w:proofErr w:type="spellStart"/>
      <w:r>
        <w:rPr>
          <w:rFonts w:ascii="Times New Roman" w:hAnsi="Times New Roman" w:cs="Times New Roman"/>
        </w:rPr>
        <w:t>c.p</w:t>
      </w:r>
      <w:proofErr w:type="spellEnd"/>
      <w:r>
        <w:rPr>
          <w:rFonts w:ascii="Times New Roman" w:hAnsi="Times New Roman" w:cs="Times New Roman"/>
        </w:rPr>
        <w:t>..</w:t>
      </w:r>
    </w:p>
  </w:footnote>
  <w:footnote w:id="39">
    <w:p w:rsidR="000F29E3" w:rsidRPr="00577720" w:rsidRDefault="000F29E3" w:rsidP="00577720">
      <w:pPr>
        <w:pStyle w:val="Testonotaapidipagina"/>
        <w:jc w:val="both"/>
        <w:rPr>
          <w:rFonts w:ascii="Times New Roman" w:hAnsi="Times New Roman" w:cs="Times New Roman"/>
        </w:rPr>
      </w:pPr>
      <w:r>
        <w:rPr>
          <w:rFonts w:ascii="Times New Roman" w:hAnsi="Times New Roman" w:cs="Times New Roman"/>
        </w:rPr>
        <w:tab/>
      </w:r>
      <w:r w:rsidRPr="00577720">
        <w:rPr>
          <w:rStyle w:val="Rimandonotaapidipagina"/>
          <w:rFonts w:ascii="Times New Roman" w:hAnsi="Times New Roman" w:cs="Times New Roman"/>
        </w:rPr>
        <w:footnoteRef/>
      </w:r>
      <w:r w:rsidRPr="00577720">
        <w:rPr>
          <w:rFonts w:ascii="Times New Roman" w:hAnsi="Times New Roman" w:cs="Times New Roman"/>
        </w:rPr>
        <w:t xml:space="preserve"> </w:t>
      </w:r>
      <w:r>
        <w:rPr>
          <w:rFonts w:ascii="Times New Roman" w:hAnsi="Times New Roman" w:cs="Times New Roman"/>
        </w:rPr>
        <w:t xml:space="preserve">G. </w:t>
      </w:r>
      <w:proofErr w:type="spellStart"/>
      <w:r w:rsidRPr="00577720">
        <w:rPr>
          <w:rFonts w:ascii="Times New Roman" w:hAnsi="Times New Roman" w:cs="Times New Roman"/>
        </w:rPr>
        <w:t>Ubertis</w:t>
      </w:r>
      <w:proofErr w:type="spellEnd"/>
      <w:r w:rsidRPr="00577720">
        <w:rPr>
          <w:rFonts w:ascii="Times New Roman" w:hAnsi="Times New Roman" w:cs="Times New Roman"/>
        </w:rPr>
        <w:t xml:space="preserve">, </w:t>
      </w:r>
      <w:r w:rsidRPr="00577720">
        <w:rPr>
          <w:rFonts w:ascii="Times New Roman" w:hAnsi="Times New Roman" w:cs="Times New Roman"/>
          <w:i/>
        </w:rPr>
        <w:t>Documenti e oralità nel nuovo processo penale (1991)</w:t>
      </w:r>
      <w:r w:rsidRPr="00577720">
        <w:rPr>
          <w:rFonts w:ascii="Times New Roman" w:hAnsi="Times New Roman" w:cs="Times New Roman"/>
        </w:rPr>
        <w:t xml:space="preserve">, in </w:t>
      </w:r>
      <w:r>
        <w:rPr>
          <w:rFonts w:ascii="Times New Roman" w:hAnsi="Times New Roman" w:cs="Times New Roman"/>
        </w:rPr>
        <w:t>Id.</w:t>
      </w:r>
      <w:r w:rsidRPr="00577720">
        <w:rPr>
          <w:rFonts w:ascii="Times New Roman" w:hAnsi="Times New Roman" w:cs="Times New Roman"/>
        </w:rPr>
        <w:t xml:space="preserve">, </w:t>
      </w:r>
      <w:proofErr w:type="spellStart"/>
      <w:r w:rsidRPr="00577720">
        <w:rPr>
          <w:rFonts w:ascii="Times New Roman" w:hAnsi="Times New Roman" w:cs="Times New Roman"/>
          <w:i/>
        </w:rPr>
        <w:t>Sisifo</w:t>
      </w:r>
      <w:proofErr w:type="spellEnd"/>
      <w:r w:rsidRPr="00577720">
        <w:rPr>
          <w:rFonts w:ascii="Times New Roman" w:hAnsi="Times New Roman" w:cs="Times New Roman"/>
          <w:i/>
        </w:rPr>
        <w:t xml:space="preserve"> e Penelope. Il nuovo codice di procedura penale dal progetto preliminare alla ricostruzione del sistema</w:t>
      </w:r>
      <w:r w:rsidRPr="00577720">
        <w:rPr>
          <w:rFonts w:ascii="Times New Roman" w:hAnsi="Times New Roman" w:cs="Times New Roman"/>
        </w:rPr>
        <w:t xml:space="preserve">, </w:t>
      </w:r>
      <w:r>
        <w:rPr>
          <w:rFonts w:ascii="Times New Roman" w:hAnsi="Times New Roman" w:cs="Times New Roman"/>
        </w:rPr>
        <w:t>Torino</w:t>
      </w:r>
      <w:r w:rsidRPr="00577720">
        <w:rPr>
          <w:rFonts w:ascii="Times New Roman" w:hAnsi="Times New Roman" w:cs="Times New Roman"/>
        </w:rPr>
        <w:t>, 1993, p. 117.</w:t>
      </w:r>
    </w:p>
  </w:footnote>
  <w:footnote w:id="40">
    <w:p w:rsidR="000F29E3" w:rsidRPr="00577720" w:rsidRDefault="000F29E3" w:rsidP="00577720">
      <w:pPr>
        <w:pStyle w:val="Testonotaapidipagina"/>
        <w:jc w:val="both"/>
        <w:rPr>
          <w:rFonts w:ascii="Times New Roman" w:hAnsi="Times New Roman" w:cs="Times New Roman"/>
        </w:rPr>
      </w:pPr>
      <w:r>
        <w:rPr>
          <w:rFonts w:ascii="Times New Roman" w:hAnsi="Times New Roman" w:cs="Times New Roman"/>
        </w:rPr>
        <w:tab/>
      </w:r>
      <w:r w:rsidRPr="00577720">
        <w:rPr>
          <w:rStyle w:val="Rimandonotaapidipagina"/>
          <w:rFonts w:ascii="Times New Roman" w:hAnsi="Times New Roman" w:cs="Times New Roman"/>
        </w:rPr>
        <w:footnoteRef/>
      </w:r>
      <w:r w:rsidRPr="00577720">
        <w:rPr>
          <w:rFonts w:ascii="Times New Roman" w:hAnsi="Times New Roman" w:cs="Times New Roman"/>
        </w:rPr>
        <w:t xml:space="preserve"> </w:t>
      </w:r>
      <w:r>
        <w:rPr>
          <w:rFonts w:ascii="Times New Roman" w:hAnsi="Times New Roman" w:cs="Times New Roman"/>
        </w:rPr>
        <w:t xml:space="preserve">P.P. </w:t>
      </w:r>
      <w:proofErr w:type="spellStart"/>
      <w:r w:rsidRPr="00577720">
        <w:rPr>
          <w:rFonts w:ascii="Times New Roman" w:hAnsi="Times New Roman" w:cs="Times New Roman"/>
        </w:rPr>
        <w:t>Rivello</w:t>
      </w:r>
      <w:proofErr w:type="spellEnd"/>
      <w:r w:rsidRPr="00577720">
        <w:rPr>
          <w:rFonts w:ascii="Times New Roman" w:hAnsi="Times New Roman" w:cs="Times New Roman"/>
        </w:rPr>
        <w:t xml:space="preserve">, </w:t>
      </w:r>
      <w:r w:rsidRPr="00577720">
        <w:rPr>
          <w:rFonts w:ascii="Times New Roman" w:hAnsi="Times New Roman" w:cs="Times New Roman"/>
          <w:i/>
        </w:rPr>
        <w:t>La struttura, la documentazione e la traduzione degli atti</w:t>
      </w:r>
      <w:r w:rsidRPr="00577720">
        <w:rPr>
          <w:rFonts w:ascii="Times New Roman" w:hAnsi="Times New Roman" w:cs="Times New Roman"/>
        </w:rPr>
        <w:t xml:space="preserve">, in </w:t>
      </w:r>
      <w:r>
        <w:rPr>
          <w:rFonts w:ascii="Times New Roman" w:hAnsi="Times New Roman" w:cs="Times New Roman"/>
        </w:rPr>
        <w:t xml:space="preserve">G. </w:t>
      </w:r>
      <w:proofErr w:type="spellStart"/>
      <w:r>
        <w:rPr>
          <w:rFonts w:ascii="Times New Roman" w:hAnsi="Times New Roman" w:cs="Times New Roman"/>
        </w:rPr>
        <w:t>Ubertis</w:t>
      </w:r>
      <w:proofErr w:type="spellEnd"/>
      <w:r>
        <w:rPr>
          <w:rFonts w:ascii="Times New Roman" w:hAnsi="Times New Roman" w:cs="Times New Roman"/>
        </w:rPr>
        <w:t xml:space="preserve">, G.P. </w:t>
      </w:r>
      <w:proofErr w:type="spellStart"/>
      <w:r>
        <w:rPr>
          <w:rFonts w:ascii="Times New Roman" w:hAnsi="Times New Roman" w:cs="Times New Roman"/>
        </w:rPr>
        <w:t>Voena</w:t>
      </w:r>
      <w:proofErr w:type="spellEnd"/>
      <w:r>
        <w:rPr>
          <w:rFonts w:ascii="Times New Roman" w:hAnsi="Times New Roman" w:cs="Times New Roman"/>
        </w:rPr>
        <w:t xml:space="preserve"> (diretto da), </w:t>
      </w:r>
      <w:r w:rsidRPr="00577720">
        <w:rPr>
          <w:rFonts w:ascii="Times New Roman" w:hAnsi="Times New Roman" w:cs="Times New Roman"/>
          <w:i/>
        </w:rPr>
        <w:t>Trattato di procedura penale</w:t>
      </w:r>
      <w:r w:rsidRPr="00577720">
        <w:rPr>
          <w:rFonts w:ascii="Times New Roman" w:hAnsi="Times New Roman" w:cs="Times New Roman"/>
        </w:rPr>
        <w:t xml:space="preserve">, </w:t>
      </w:r>
      <w:r>
        <w:rPr>
          <w:rFonts w:ascii="Times New Roman" w:hAnsi="Times New Roman" w:cs="Times New Roman"/>
        </w:rPr>
        <w:t>Milano,</w:t>
      </w:r>
      <w:r w:rsidRPr="00577720">
        <w:rPr>
          <w:rFonts w:ascii="Times New Roman" w:hAnsi="Times New Roman" w:cs="Times New Roman"/>
        </w:rPr>
        <w:t xml:space="preserve"> 1999,</w:t>
      </w:r>
      <w:r>
        <w:rPr>
          <w:rFonts w:ascii="Times New Roman" w:hAnsi="Times New Roman" w:cs="Times New Roman"/>
        </w:rPr>
        <w:t xml:space="preserve"> vol. X.1,</w:t>
      </w:r>
      <w:r w:rsidRPr="00577720">
        <w:rPr>
          <w:rFonts w:ascii="Times New Roman" w:hAnsi="Times New Roman" w:cs="Times New Roman"/>
        </w:rPr>
        <w:t xml:space="preserve"> p</w:t>
      </w:r>
      <w:r>
        <w:rPr>
          <w:rFonts w:ascii="Times New Roman" w:hAnsi="Times New Roman" w:cs="Times New Roman"/>
        </w:rPr>
        <w:t>p</w:t>
      </w:r>
      <w:r w:rsidRPr="00577720">
        <w:rPr>
          <w:rFonts w:ascii="Times New Roman" w:hAnsi="Times New Roman" w:cs="Times New Roman"/>
        </w:rPr>
        <w:t>. 26-27.</w:t>
      </w:r>
    </w:p>
  </w:footnote>
  <w:footnote w:id="41">
    <w:p w:rsidR="000F29E3" w:rsidRPr="00577720" w:rsidRDefault="000F29E3" w:rsidP="00577720">
      <w:pPr>
        <w:pStyle w:val="Testonotaapidipagina"/>
        <w:jc w:val="both"/>
        <w:rPr>
          <w:rFonts w:ascii="Times New Roman" w:hAnsi="Times New Roman" w:cs="Times New Roman"/>
        </w:rPr>
      </w:pPr>
      <w:r>
        <w:rPr>
          <w:rFonts w:ascii="Times New Roman" w:hAnsi="Times New Roman" w:cs="Times New Roman"/>
        </w:rPr>
        <w:tab/>
      </w:r>
      <w:r w:rsidRPr="00577720">
        <w:rPr>
          <w:rStyle w:val="Rimandonotaapidipagina"/>
          <w:rFonts w:ascii="Times New Roman" w:hAnsi="Times New Roman" w:cs="Times New Roman"/>
        </w:rPr>
        <w:footnoteRef/>
      </w:r>
      <w:r w:rsidRPr="00577720">
        <w:rPr>
          <w:rFonts w:ascii="Times New Roman" w:hAnsi="Times New Roman" w:cs="Times New Roman"/>
        </w:rPr>
        <w:t xml:space="preserve"> </w:t>
      </w:r>
      <w:r>
        <w:rPr>
          <w:rFonts w:ascii="Times New Roman" w:hAnsi="Times New Roman" w:cs="Times New Roman"/>
        </w:rPr>
        <w:t xml:space="preserve">Sul punto, </w:t>
      </w:r>
      <w:proofErr w:type="spellStart"/>
      <w:r>
        <w:rPr>
          <w:rFonts w:ascii="Times New Roman" w:hAnsi="Times New Roman" w:cs="Times New Roman"/>
          <w:i/>
        </w:rPr>
        <w:t>amplius</w:t>
      </w:r>
      <w:proofErr w:type="spellEnd"/>
      <w:r>
        <w:rPr>
          <w:rFonts w:ascii="Times New Roman" w:hAnsi="Times New Roman" w:cs="Times New Roman"/>
        </w:rPr>
        <w:t xml:space="preserve">, G. </w:t>
      </w:r>
      <w:proofErr w:type="spellStart"/>
      <w:r>
        <w:rPr>
          <w:rFonts w:ascii="Times New Roman" w:hAnsi="Times New Roman" w:cs="Times New Roman"/>
        </w:rPr>
        <w:t>Ubertis</w:t>
      </w:r>
      <w:proofErr w:type="spellEnd"/>
      <w:r>
        <w:rPr>
          <w:rFonts w:ascii="Times New Roman" w:hAnsi="Times New Roman" w:cs="Times New Roman"/>
        </w:rPr>
        <w:t xml:space="preserve">, </w:t>
      </w:r>
      <w:r>
        <w:rPr>
          <w:rFonts w:ascii="Times New Roman" w:hAnsi="Times New Roman" w:cs="Times New Roman"/>
          <w:i/>
        </w:rPr>
        <w:t>La prova acquisita all'estero e la sua utilizzabilità in Italia</w:t>
      </w:r>
      <w:r>
        <w:rPr>
          <w:rFonts w:ascii="Times New Roman" w:hAnsi="Times New Roman" w:cs="Times New Roman"/>
        </w:rPr>
        <w:t xml:space="preserve">, in </w:t>
      </w:r>
      <w:r>
        <w:rPr>
          <w:rFonts w:ascii="Times New Roman" w:hAnsi="Times New Roman" w:cs="Times New Roman"/>
          <w:i/>
        </w:rPr>
        <w:t xml:space="preserve">Cass. </w:t>
      </w:r>
      <w:proofErr w:type="spellStart"/>
      <w:r>
        <w:rPr>
          <w:rFonts w:ascii="Times New Roman" w:hAnsi="Times New Roman" w:cs="Times New Roman"/>
          <w:i/>
        </w:rPr>
        <w:t>pen</w:t>
      </w:r>
      <w:proofErr w:type="spellEnd"/>
      <w:r>
        <w:rPr>
          <w:rFonts w:ascii="Times New Roman" w:hAnsi="Times New Roman" w:cs="Times New Roman"/>
          <w:i/>
        </w:rPr>
        <w:t>.</w:t>
      </w:r>
      <w:r>
        <w:rPr>
          <w:rFonts w:ascii="Times New Roman" w:hAnsi="Times New Roman" w:cs="Times New Roman"/>
        </w:rPr>
        <w:t>, 2014, spec. p. 699.</w:t>
      </w:r>
    </w:p>
  </w:footnote>
  <w:footnote w:id="42">
    <w:p w:rsidR="000F29E3" w:rsidRPr="00577720" w:rsidRDefault="000F29E3" w:rsidP="00577720">
      <w:pPr>
        <w:pStyle w:val="Testonotaapidipagina"/>
        <w:jc w:val="both"/>
        <w:rPr>
          <w:rFonts w:ascii="Times New Roman" w:hAnsi="Times New Roman" w:cs="Times New Roman"/>
        </w:rPr>
      </w:pPr>
      <w:r>
        <w:rPr>
          <w:rFonts w:ascii="Times New Roman" w:hAnsi="Times New Roman" w:cs="Times New Roman"/>
        </w:rPr>
        <w:tab/>
      </w:r>
      <w:r w:rsidRPr="00577720">
        <w:rPr>
          <w:rStyle w:val="Rimandonotaapidipagina"/>
          <w:rFonts w:ascii="Times New Roman" w:hAnsi="Times New Roman" w:cs="Times New Roman"/>
        </w:rPr>
        <w:footnoteRef/>
      </w:r>
      <w:r w:rsidRPr="00577720">
        <w:rPr>
          <w:rFonts w:ascii="Times New Roman" w:hAnsi="Times New Roman" w:cs="Times New Roman"/>
        </w:rPr>
        <w:t xml:space="preserve"> </w:t>
      </w:r>
      <w:r>
        <w:rPr>
          <w:rFonts w:ascii="Times New Roman" w:hAnsi="Times New Roman" w:cs="Times New Roman"/>
        </w:rPr>
        <w:t xml:space="preserve">Cass., sez. </w:t>
      </w:r>
      <w:proofErr w:type="spellStart"/>
      <w:r>
        <w:rPr>
          <w:rFonts w:ascii="Times New Roman" w:hAnsi="Times New Roman" w:cs="Times New Roman"/>
        </w:rPr>
        <w:t>VI</w:t>
      </w:r>
      <w:proofErr w:type="spellEnd"/>
      <w:r>
        <w:rPr>
          <w:rFonts w:ascii="Times New Roman" w:hAnsi="Times New Roman" w:cs="Times New Roman"/>
        </w:rPr>
        <w:t xml:space="preserve">, 2 luglio 2012, n. 30068, in </w:t>
      </w:r>
      <w:r>
        <w:rPr>
          <w:rFonts w:ascii="Times New Roman" w:hAnsi="Times New Roman" w:cs="Times New Roman"/>
          <w:i/>
        </w:rPr>
        <w:t>CED Cass.</w:t>
      </w:r>
      <w:r>
        <w:rPr>
          <w:rFonts w:ascii="Times New Roman" w:hAnsi="Times New Roman" w:cs="Times New Roman"/>
        </w:rPr>
        <w:t>, n. 253273.</w:t>
      </w:r>
    </w:p>
  </w:footnote>
  <w:footnote w:id="43">
    <w:p w:rsidR="000F29E3" w:rsidRPr="005B746A" w:rsidRDefault="000F29E3" w:rsidP="005B746A">
      <w:pPr>
        <w:pStyle w:val="Testonotaapidipagina"/>
        <w:jc w:val="both"/>
        <w:rPr>
          <w:rFonts w:ascii="Times New Roman" w:hAnsi="Times New Roman" w:cs="Times New Roman"/>
        </w:rPr>
      </w:pPr>
      <w:r>
        <w:rPr>
          <w:rFonts w:ascii="Times New Roman" w:hAnsi="Times New Roman" w:cs="Times New Roman"/>
        </w:rPr>
        <w:tab/>
      </w:r>
      <w:r w:rsidRPr="005B746A">
        <w:rPr>
          <w:rStyle w:val="Rimandonotaapidipagina"/>
          <w:rFonts w:ascii="Times New Roman" w:hAnsi="Times New Roman" w:cs="Times New Roman"/>
        </w:rPr>
        <w:footnoteRef/>
      </w:r>
      <w:r w:rsidRPr="005B746A">
        <w:rPr>
          <w:rFonts w:ascii="Times New Roman" w:hAnsi="Times New Roman" w:cs="Times New Roman"/>
        </w:rPr>
        <w:t xml:space="preserve"> </w:t>
      </w:r>
      <w:r>
        <w:rPr>
          <w:rFonts w:ascii="Times New Roman" w:hAnsi="Times New Roman" w:cs="Times New Roman"/>
        </w:rPr>
        <w:t xml:space="preserve">Essa ovviamente confinandosi al caso in cui sia l'autorità italiana a chiedere a quella straniera la documentazione di quanto compiuto o, viceversa, quando sia richiesta all'autorità estera una specifica assunzione probatoria: così, M.R. </w:t>
      </w:r>
      <w:proofErr w:type="spellStart"/>
      <w:r>
        <w:rPr>
          <w:rFonts w:ascii="Times New Roman" w:hAnsi="Times New Roman" w:cs="Times New Roman"/>
        </w:rPr>
        <w:t>Marchetti</w:t>
      </w:r>
      <w:proofErr w:type="spellEnd"/>
      <w:r>
        <w:rPr>
          <w:rFonts w:ascii="Times New Roman" w:hAnsi="Times New Roman" w:cs="Times New Roman"/>
        </w:rPr>
        <w:t xml:space="preserve">, </w:t>
      </w:r>
      <w:r>
        <w:rPr>
          <w:rFonts w:ascii="Times New Roman" w:hAnsi="Times New Roman" w:cs="Times New Roman"/>
          <w:i/>
        </w:rPr>
        <w:t>L'assistenza giudiziaria internazionale</w:t>
      </w:r>
      <w:r>
        <w:rPr>
          <w:rFonts w:ascii="Times New Roman" w:hAnsi="Times New Roman" w:cs="Times New Roman"/>
        </w:rPr>
        <w:t xml:space="preserve">, in G. </w:t>
      </w:r>
      <w:proofErr w:type="spellStart"/>
      <w:r>
        <w:rPr>
          <w:rFonts w:ascii="Times New Roman" w:hAnsi="Times New Roman" w:cs="Times New Roman"/>
        </w:rPr>
        <w:t>Ubertis</w:t>
      </w:r>
      <w:proofErr w:type="spellEnd"/>
      <w:r>
        <w:rPr>
          <w:rFonts w:ascii="Times New Roman" w:hAnsi="Times New Roman" w:cs="Times New Roman"/>
        </w:rPr>
        <w:t xml:space="preserve">, G.P. </w:t>
      </w:r>
      <w:proofErr w:type="spellStart"/>
      <w:r>
        <w:rPr>
          <w:rFonts w:ascii="Times New Roman" w:hAnsi="Times New Roman" w:cs="Times New Roman"/>
        </w:rPr>
        <w:t>Voena</w:t>
      </w:r>
      <w:proofErr w:type="spellEnd"/>
      <w:r>
        <w:rPr>
          <w:rFonts w:ascii="Times New Roman" w:hAnsi="Times New Roman" w:cs="Times New Roman"/>
        </w:rPr>
        <w:t xml:space="preserve"> (diretto da), </w:t>
      </w:r>
      <w:r>
        <w:rPr>
          <w:rFonts w:ascii="Times New Roman" w:hAnsi="Times New Roman" w:cs="Times New Roman"/>
          <w:i/>
        </w:rPr>
        <w:t>Trattato di procedura penale</w:t>
      </w:r>
      <w:r>
        <w:rPr>
          <w:rFonts w:ascii="Times New Roman" w:hAnsi="Times New Roman" w:cs="Times New Roman"/>
        </w:rPr>
        <w:t xml:space="preserve">, Milano, 2005, vol. XV, p. 71. </w:t>
      </w:r>
    </w:p>
  </w:footnote>
  <w:footnote w:id="44">
    <w:p w:rsidR="000F29E3" w:rsidRPr="005B746A" w:rsidRDefault="000F29E3" w:rsidP="005B746A">
      <w:pPr>
        <w:pStyle w:val="Testonotaapidipagina"/>
        <w:jc w:val="both"/>
        <w:rPr>
          <w:rFonts w:ascii="Times New Roman" w:hAnsi="Times New Roman" w:cs="Times New Roman"/>
        </w:rPr>
      </w:pPr>
      <w:r>
        <w:rPr>
          <w:rFonts w:ascii="Times New Roman" w:hAnsi="Times New Roman" w:cs="Times New Roman"/>
        </w:rPr>
        <w:tab/>
      </w:r>
      <w:r w:rsidRPr="005B746A">
        <w:rPr>
          <w:rStyle w:val="Rimandonotaapidipagina"/>
          <w:rFonts w:ascii="Times New Roman" w:hAnsi="Times New Roman" w:cs="Times New Roman"/>
        </w:rPr>
        <w:footnoteRef/>
      </w:r>
      <w:r w:rsidRPr="005B746A">
        <w:rPr>
          <w:rFonts w:ascii="Times New Roman" w:hAnsi="Times New Roman" w:cs="Times New Roman"/>
        </w:rPr>
        <w:t xml:space="preserve"> </w:t>
      </w:r>
      <w:r>
        <w:rPr>
          <w:rFonts w:ascii="Times New Roman" w:hAnsi="Times New Roman" w:cs="Times New Roman"/>
        </w:rPr>
        <w:t>v. §2.</w:t>
      </w:r>
    </w:p>
  </w:footnote>
  <w:footnote w:id="45">
    <w:p w:rsidR="000F29E3" w:rsidRPr="00397204" w:rsidRDefault="000F29E3" w:rsidP="00E03979">
      <w:pPr>
        <w:pStyle w:val="Testonotaapidipagina"/>
        <w:jc w:val="both"/>
        <w:rPr>
          <w:rFonts w:ascii="Times New Roman" w:hAnsi="Times New Roman" w:cs="Times New Roman"/>
        </w:rPr>
      </w:pPr>
      <w:r>
        <w:rPr>
          <w:rFonts w:ascii="Times New Roman" w:hAnsi="Times New Roman" w:cs="Times New Roman"/>
        </w:rPr>
        <w:tab/>
      </w:r>
      <w:r w:rsidRPr="00397204">
        <w:rPr>
          <w:rStyle w:val="Rimandonotaapidipagina"/>
          <w:rFonts w:ascii="Times New Roman" w:hAnsi="Times New Roman" w:cs="Times New Roman"/>
        </w:rPr>
        <w:footnoteRef/>
      </w:r>
      <w:r w:rsidRPr="00397204">
        <w:rPr>
          <w:rFonts w:ascii="Times New Roman" w:hAnsi="Times New Roman" w:cs="Times New Roman"/>
        </w:rPr>
        <w:t xml:space="preserve"> </w:t>
      </w:r>
      <w:r>
        <w:rPr>
          <w:rFonts w:ascii="Times New Roman" w:hAnsi="Times New Roman" w:cs="Times New Roman"/>
        </w:rPr>
        <w:t xml:space="preserve">Come ricordano G. </w:t>
      </w:r>
      <w:proofErr w:type="spellStart"/>
      <w:r>
        <w:rPr>
          <w:rFonts w:ascii="Times New Roman" w:hAnsi="Times New Roman" w:cs="Times New Roman"/>
        </w:rPr>
        <w:t>Campeis</w:t>
      </w:r>
      <w:proofErr w:type="spellEnd"/>
      <w:r>
        <w:rPr>
          <w:rFonts w:ascii="Times New Roman" w:hAnsi="Times New Roman" w:cs="Times New Roman"/>
        </w:rPr>
        <w:t xml:space="preserve">, A. De </w:t>
      </w:r>
      <w:proofErr w:type="spellStart"/>
      <w:r>
        <w:rPr>
          <w:rFonts w:ascii="Times New Roman" w:hAnsi="Times New Roman" w:cs="Times New Roman"/>
        </w:rPr>
        <w:t>Pauli</w:t>
      </w:r>
      <w:proofErr w:type="spellEnd"/>
      <w:r>
        <w:rPr>
          <w:rFonts w:ascii="Times New Roman" w:hAnsi="Times New Roman" w:cs="Times New Roman"/>
        </w:rPr>
        <w:t xml:space="preserve">, </w:t>
      </w:r>
      <w:r>
        <w:rPr>
          <w:rFonts w:ascii="Times New Roman" w:hAnsi="Times New Roman" w:cs="Times New Roman"/>
          <w:i/>
        </w:rPr>
        <w:t>Prime riflessioni sul regolamento sulle rogatorie: il nuovo assetto dell'assunzione di prove all'estero nel processo italiano</w:t>
      </w:r>
      <w:r>
        <w:rPr>
          <w:rFonts w:ascii="Times New Roman" w:hAnsi="Times New Roman" w:cs="Times New Roman"/>
        </w:rPr>
        <w:t xml:space="preserve">, in </w:t>
      </w:r>
      <w:proofErr w:type="spellStart"/>
      <w:r>
        <w:rPr>
          <w:rFonts w:ascii="Times New Roman" w:hAnsi="Times New Roman" w:cs="Times New Roman"/>
          <w:i/>
        </w:rPr>
        <w:t>Giust</w:t>
      </w:r>
      <w:proofErr w:type="spellEnd"/>
      <w:r>
        <w:rPr>
          <w:rFonts w:ascii="Times New Roman" w:hAnsi="Times New Roman" w:cs="Times New Roman"/>
          <w:i/>
        </w:rPr>
        <w:t>. civ.</w:t>
      </w:r>
      <w:r>
        <w:rPr>
          <w:rFonts w:ascii="Times New Roman" w:hAnsi="Times New Roman" w:cs="Times New Roman"/>
        </w:rPr>
        <w:t>, 2003, II, p. 34.</w:t>
      </w:r>
    </w:p>
  </w:footnote>
  <w:footnote w:id="46">
    <w:p w:rsidR="000F29E3" w:rsidRPr="00397204" w:rsidRDefault="000F29E3" w:rsidP="00E03979">
      <w:pPr>
        <w:pStyle w:val="Testonotaapidipagina"/>
        <w:jc w:val="both"/>
        <w:rPr>
          <w:rFonts w:ascii="Times New Roman" w:hAnsi="Times New Roman" w:cs="Times New Roman"/>
        </w:rPr>
      </w:pPr>
      <w:r>
        <w:rPr>
          <w:rFonts w:ascii="Times New Roman" w:hAnsi="Times New Roman" w:cs="Times New Roman"/>
        </w:rPr>
        <w:tab/>
      </w:r>
      <w:r w:rsidRPr="00397204">
        <w:rPr>
          <w:rStyle w:val="Rimandonotaapidipagina"/>
          <w:rFonts w:ascii="Times New Roman" w:hAnsi="Times New Roman" w:cs="Times New Roman"/>
        </w:rPr>
        <w:footnoteRef/>
      </w:r>
      <w:r w:rsidRPr="00397204">
        <w:rPr>
          <w:rFonts w:ascii="Times New Roman" w:hAnsi="Times New Roman" w:cs="Times New Roman"/>
        </w:rPr>
        <w:t xml:space="preserve"> </w:t>
      </w:r>
      <w:r>
        <w:rPr>
          <w:rFonts w:ascii="Times New Roman" w:hAnsi="Times New Roman" w:cs="Times New Roman"/>
        </w:rPr>
        <w:t xml:space="preserve">v. </w:t>
      </w:r>
      <w:proofErr w:type="spellStart"/>
      <w:r>
        <w:rPr>
          <w:rFonts w:ascii="Times New Roman" w:hAnsi="Times New Roman" w:cs="Times New Roman"/>
          <w:i/>
        </w:rPr>
        <w:t>supra</w:t>
      </w:r>
      <w:proofErr w:type="spellEnd"/>
      <w:r>
        <w:rPr>
          <w:rFonts w:ascii="Times New Roman" w:hAnsi="Times New Roman" w:cs="Times New Roman"/>
        </w:rPr>
        <w:t>, §1.</w:t>
      </w:r>
    </w:p>
  </w:footnote>
  <w:footnote w:id="47">
    <w:p w:rsidR="000F29E3" w:rsidRPr="000D1AAA" w:rsidRDefault="000F29E3" w:rsidP="00E03979">
      <w:pPr>
        <w:pStyle w:val="Testonotaapidipagina"/>
        <w:jc w:val="both"/>
        <w:rPr>
          <w:rFonts w:ascii="Times New Roman" w:hAnsi="Times New Roman" w:cs="Times New Roman"/>
        </w:rPr>
      </w:pPr>
      <w:r>
        <w:rPr>
          <w:rFonts w:ascii="Times New Roman" w:hAnsi="Times New Roman" w:cs="Times New Roman"/>
        </w:rPr>
        <w:tab/>
      </w:r>
      <w:r w:rsidRPr="00397204">
        <w:rPr>
          <w:rStyle w:val="Rimandonotaapidipagina"/>
          <w:rFonts w:ascii="Times New Roman" w:hAnsi="Times New Roman" w:cs="Times New Roman"/>
        </w:rPr>
        <w:footnoteRef/>
      </w:r>
      <w:r w:rsidRPr="00397204">
        <w:rPr>
          <w:rFonts w:ascii="Times New Roman" w:hAnsi="Times New Roman" w:cs="Times New Roman"/>
        </w:rPr>
        <w:t xml:space="preserve"> </w:t>
      </w:r>
      <w:r>
        <w:rPr>
          <w:rFonts w:ascii="Times New Roman" w:hAnsi="Times New Roman" w:cs="Times New Roman"/>
        </w:rPr>
        <w:t xml:space="preserve">Ciò che comunque rende più facile la circolazione probatoria a livello sovranazionale: fanno l'esempio del tecnico da nominarsi per valutare gli effetti pregiudizievoli di un sinistro stradale sull'infortunato che risiede all'estero, G. </w:t>
      </w:r>
      <w:proofErr w:type="spellStart"/>
      <w:r>
        <w:rPr>
          <w:rFonts w:ascii="Times New Roman" w:hAnsi="Times New Roman" w:cs="Times New Roman"/>
        </w:rPr>
        <w:t>Campeis</w:t>
      </w:r>
      <w:proofErr w:type="spellEnd"/>
      <w:r>
        <w:rPr>
          <w:rFonts w:ascii="Times New Roman" w:hAnsi="Times New Roman" w:cs="Times New Roman"/>
        </w:rPr>
        <w:t xml:space="preserve">, A. De </w:t>
      </w:r>
      <w:proofErr w:type="spellStart"/>
      <w:r>
        <w:rPr>
          <w:rFonts w:ascii="Times New Roman" w:hAnsi="Times New Roman" w:cs="Times New Roman"/>
        </w:rPr>
        <w:t>Pauli</w:t>
      </w:r>
      <w:proofErr w:type="spellEnd"/>
      <w:r>
        <w:rPr>
          <w:rFonts w:ascii="Times New Roman" w:hAnsi="Times New Roman" w:cs="Times New Roman"/>
        </w:rPr>
        <w:t xml:space="preserve">, </w:t>
      </w:r>
      <w:r>
        <w:rPr>
          <w:rFonts w:ascii="Times New Roman" w:hAnsi="Times New Roman" w:cs="Times New Roman"/>
          <w:i/>
        </w:rPr>
        <w:t>Il danno dello straniero</w:t>
      </w:r>
      <w:r>
        <w:rPr>
          <w:rFonts w:ascii="Times New Roman" w:hAnsi="Times New Roman" w:cs="Times New Roman"/>
        </w:rPr>
        <w:t xml:space="preserve">, in G. </w:t>
      </w:r>
      <w:proofErr w:type="spellStart"/>
      <w:r>
        <w:rPr>
          <w:rFonts w:ascii="Times New Roman" w:hAnsi="Times New Roman" w:cs="Times New Roman"/>
        </w:rPr>
        <w:t>Alpa</w:t>
      </w:r>
      <w:proofErr w:type="spellEnd"/>
      <w:r>
        <w:rPr>
          <w:rFonts w:ascii="Times New Roman" w:hAnsi="Times New Roman" w:cs="Times New Roman"/>
        </w:rPr>
        <w:t xml:space="preserve">, M. </w:t>
      </w:r>
      <w:proofErr w:type="spellStart"/>
      <w:r>
        <w:rPr>
          <w:rFonts w:ascii="Times New Roman" w:hAnsi="Times New Roman" w:cs="Times New Roman"/>
        </w:rPr>
        <w:t>Bessone</w:t>
      </w:r>
      <w:proofErr w:type="spellEnd"/>
      <w:r>
        <w:rPr>
          <w:rFonts w:ascii="Times New Roman" w:hAnsi="Times New Roman" w:cs="Times New Roman"/>
        </w:rPr>
        <w:t xml:space="preserve"> (a cura di), </w:t>
      </w:r>
      <w:r>
        <w:rPr>
          <w:rFonts w:ascii="Times New Roman" w:hAnsi="Times New Roman" w:cs="Times New Roman"/>
          <w:i/>
        </w:rPr>
        <w:t>La responsabilità civile. Una rassegna di dottrina e giurisprudenza</w:t>
      </w:r>
      <w:r>
        <w:rPr>
          <w:rFonts w:ascii="Times New Roman" w:hAnsi="Times New Roman" w:cs="Times New Roman"/>
        </w:rPr>
        <w:t>, Torino, 1987, vol. IV, p. 143.</w:t>
      </w:r>
    </w:p>
  </w:footnote>
  <w:footnote w:id="48">
    <w:p w:rsidR="000F29E3" w:rsidRPr="00E22AB8" w:rsidRDefault="000F29E3" w:rsidP="00E03979">
      <w:pPr>
        <w:pStyle w:val="Testonotaapidipagina"/>
        <w:jc w:val="both"/>
        <w:rPr>
          <w:rFonts w:ascii="Times New Roman" w:hAnsi="Times New Roman" w:cs="Times New Roman"/>
        </w:rPr>
      </w:pPr>
      <w:r>
        <w:rPr>
          <w:rFonts w:ascii="Times New Roman" w:hAnsi="Times New Roman" w:cs="Times New Roman"/>
        </w:rPr>
        <w:tab/>
      </w:r>
      <w:r w:rsidRPr="00E22AB8">
        <w:rPr>
          <w:rStyle w:val="Rimandonotaapidipagina"/>
          <w:rFonts w:ascii="Times New Roman" w:hAnsi="Times New Roman" w:cs="Times New Roman"/>
        </w:rPr>
        <w:footnoteRef/>
      </w:r>
      <w:r w:rsidRPr="00E22AB8">
        <w:rPr>
          <w:rFonts w:ascii="Times New Roman" w:hAnsi="Times New Roman" w:cs="Times New Roman"/>
        </w:rPr>
        <w:t xml:space="preserve"> </w:t>
      </w:r>
      <w:r>
        <w:rPr>
          <w:rFonts w:ascii="Times New Roman" w:hAnsi="Times New Roman" w:cs="Times New Roman"/>
        </w:rPr>
        <w:t xml:space="preserve">T. </w:t>
      </w:r>
      <w:proofErr w:type="spellStart"/>
      <w:r>
        <w:rPr>
          <w:rFonts w:ascii="Times New Roman" w:hAnsi="Times New Roman" w:cs="Times New Roman"/>
        </w:rPr>
        <w:t>Ballarino</w:t>
      </w:r>
      <w:proofErr w:type="spellEnd"/>
      <w:r>
        <w:rPr>
          <w:rFonts w:ascii="Times New Roman" w:hAnsi="Times New Roman" w:cs="Times New Roman"/>
        </w:rPr>
        <w:t xml:space="preserve"> (a cura di), </w:t>
      </w:r>
      <w:r>
        <w:rPr>
          <w:rFonts w:ascii="Times New Roman" w:hAnsi="Times New Roman" w:cs="Times New Roman"/>
          <w:i/>
        </w:rPr>
        <w:t>Diritto internazionale privato</w:t>
      </w:r>
      <w:r>
        <w:rPr>
          <w:rFonts w:ascii="Times New Roman" w:hAnsi="Times New Roman" w:cs="Times New Roman"/>
        </w:rPr>
        <w:t>, Napoli, 2011, p. 43.</w:t>
      </w:r>
    </w:p>
  </w:footnote>
  <w:footnote w:id="49">
    <w:p w:rsidR="000F29E3" w:rsidRPr="00E22AB8" w:rsidRDefault="000F29E3" w:rsidP="00E03979">
      <w:pPr>
        <w:pStyle w:val="Testonotaapidipagina"/>
        <w:jc w:val="both"/>
        <w:rPr>
          <w:rFonts w:ascii="Times New Roman" w:hAnsi="Times New Roman" w:cs="Times New Roman"/>
        </w:rPr>
      </w:pPr>
      <w:r>
        <w:rPr>
          <w:rFonts w:ascii="Times New Roman" w:hAnsi="Times New Roman" w:cs="Times New Roman"/>
        </w:rPr>
        <w:tab/>
      </w:r>
      <w:r w:rsidRPr="00E22AB8">
        <w:rPr>
          <w:rStyle w:val="Rimandonotaapidipagina"/>
          <w:rFonts w:ascii="Times New Roman" w:hAnsi="Times New Roman" w:cs="Times New Roman"/>
        </w:rPr>
        <w:footnoteRef/>
      </w:r>
      <w:r w:rsidRPr="00E22AB8">
        <w:rPr>
          <w:rFonts w:ascii="Times New Roman" w:hAnsi="Times New Roman" w:cs="Times New Roman"/>
        </w:rPr>
        <w:t xml:space="preserve"> </w:t>
      </w:r>
      <w:r>
        <w:rPr>
          <w:rFonts w:ascii="Times New Roman" w:hAnsi="Times New Roman" w:cs="Times New Roman"/>
        </w:rPr>
        <w:t xml:space="preserve">E per la quale si rimanda a T. </w:t>
      </w:r>
      <w:proofErr w:type="spellStart"/>
      <w:r>
        <w:rPr>
          <w:rFonts w:ascii="Times New Roman" w:hAnsi="Times New Roman" w:cs="Times New Roman"/>
        </w:rPr>
        <w:t>Ballarino</w:t>
      </w:r>
      <w:proofErr w:type="spellEnd"/>
      <w:r>
        <w:rPr>
          <w:rFonts w:ascii="Times New Roman" w:hAnsi="Times New Roman" w:cs="Times New Roman"/>
        </w:rPr>
        <w:t xml:space="preserve">, L. Mari, </w:t>
      </w:r>
      <w:r>
        <w:rPr>
          <w:rFonts w:ascii="Times New Roman" w:hAnsi="Times New Roman" w:cs="Times New Roman"/>
          <w:i/>
        </w:rPr>
        <w:t>Uniformità e riconoscimento. Vecchi problemi e nuove tendenze della cooperazione giudiziaria nella Comunità europea</w:t>
      </w:r>
      <w:r>
        <w:rPr>
          <w:rFonts w:ascii="Times New Roman" w:hAnsi="Times New Roman" w:cs="Times New Roman"/>
        </w:rPr>
        <w:t xml:space="preserve">, in </w:t>
      </w:r>
      <w:proofErr w:type="spellStart"/>
      <w:r>
        <w:rPr>
          <w:rFonts w:ascii="Times New Roman" w:hAnsi="Times New Roman" w:cs="Times New Roman"/>
          <w:i/>
        </w:rPr>
        <w:t>Riv</w:t>
      </w:r>
      <w:proofErr w:type="spellEnd"/>
      <w:r>
        <w:rPr>
          <w:rFonts w:ascii="Times New Roman" w:hAnsi="Times New Roman" w:cs="Times New Roman"/>
          <w:i/>
        </w:rPr>
        <w:t xml:space="preserve">. dir. </w:t>
      </w:r>
      <w:proofErr w:type="spellStart"/>
      <w:r>
        <w:rPr>
          <w:rFonts w:ascii="Times New Roman" w:hAnsi="Times New Roman" w:cs="Times New Roman"/>
          <w:i/>
        </w:rPr>
        <w:t>intern</w:t>
      </w:r>
      <w:proofErr w:type="spellEnd"/>
      <w:r>
        <w:rPr>
          <w:rFonts w:ascii="Times New Roman" w:hAnsi="Times New Roman" w:cs="Times New Roman"/>
          <w:i/>
        </w:rPr>
        <w:t>.</w:t>
      </w:r>
      <w:r>
        <w:rPr>
          <w:rFonts w:ascii="Times New Roman" w:hAnsi="Times New Roman" w:cs="Times New Roman"/>
        </w:rPr>
        <w:t>, 2006, p. 7 ss..</w:t>
      </w:r>
    </w:p>
  </w:footnote>
  <w:footnote w:id="50">
    <w:p w:rsidR="000F29E3" w:rsidRPr="00B87308" w:rsidRDefault="000F29E3" w:rsidP="0044588D">
      <w:pPr>
        <w:pStyle w:val="Testonotaapidipagina"/>
        <w:jc w:val="both"/>
        <w:rPr>
          <w:rFonts w:ascii="Times New Roman" w:hAnsi="Times New Roman" w:cs="Times New Roman"/>
        </w:rPr>
      </w:pPr>
      <w:r>
        <w:rPr>
          <w:rFonts w:ascii="Times New Roman" w:hAnsi="Times New Roman" w:cs="Times New Roman"/>
        </w:rPr>
        <w:tab/>
      </w:r>
      <w:r w:rsidRPr="00B87308">
        <w:rPr>
          <w:rStyle w:val="Rimandonotaapidipagina"/>
          <w:rFonts w:ascii="Times New Roman" w:hAnsi="Times New Roman" w:cs="Times New Roman"/>
        </w:rPr>
        <w:footnoteRef/>
      </w:r>
      <w:r w:rsidRPr="00B87308">
        <w:rPr>
          <w:rFonts w:ascii="Times New Roman" w:hAnsi="Times New Roman" w:cs="Times New Roman"/>
        </w:rPr>
        <w:t xml:space="preserve"> </w:t>
      </w:r>
      <w:r>
        <w:rPr>
          <w:rFonts w:ascii="Times New Roman" w:hAnsi="Times New Roman" w:cs="Times New Roman"/>
        </w:rPr>
        <w:t xml:space="preserve">Si pensi alle difficoltà di attuare il mandato europeo di ricerca della prova o al percorso, ad oggi incompiuto, verso l'ordine europeo d'indagine. Si rimanda all'analisi di </w:t>
      </w:r>
      <w:proofErr w:type="spellStart"/>
      <w:r>
        <w:rPr>
          <w:rFonts w:ascii="Times New Roman" w:hAnsi="Times New Roman" w:cs="Times New Roman"/>
        </w:rPr>
        <w:t>F.R.</w:t>
      </w:r>
      <w:proofErr w:type="spellEnd"/>
      <w:r>
        <w:rPr>
          <w:rFonts w:ascii="Times New Roman" w:hAnsi="Times New Roman" w:cs="Times New Roman"/>
        </w:rPr>
        <w:t xml:space="preserve"> </w:t>
      </w:r>
      <w:proofErr w:type="spellStart"/>
      <w:r>
        <w:rPr>
          <w:rFonts w:ascii="Times New Roman" w:hAnsi="Times New Roman" w:cs="Times New Roman"/>
        </w:rPr>
        <w:t>Dinacci</w:t>
      </w:r>
      <w:proofErr w:type="spellEnd"/>
      <w:r>
        <w:rPr>
          <w:rFonts w:ascii="Times New Roman" w:hAnsi="Times New Roman" w:cs="Times New Roman"/>
        </w:rPr>
        <w:t xml:space="preserve">, </w:t>
      </w:r>
      <w:r>
        <w:rPr>
          <w:rFonts w:ascii="Times New Roman" w:hAnsi="Times New Roman" w:cs="Times New Roman"/>
          <w:i/>
        </w:rPr>
        <w:t>L'inutilizzabilità nel processo penale. Struttura e funzione del vizio</w:t>
      </w:r>
      <w:r>
        <w:rPr>
          <w:rFonts w:ascii="Times New Roman" w:hAnsi="Times New Roman" w:cs="Times New Roman"/>
        </w:rPr>
        <w:t xml:space="preserve">, Milano, 2008, in particolare nei primi quattro paragrafi del capitolo V, dedicato a </w:t>
      </w:r>
      <w:r>
        <w:rPr>
          <w:rFonts w:ascii="Times New Roman" w:hAnsi="Times New Roman" w:cs="Times New Roman"/>
          <w:i/>
        </w:rPr>
        <w:t xml:space="preserve">Il divieto d'uso nello spazio e nel tempo. Prova estera e </w:t>
      </w:r>
      <w:proofErr w:type="spellStart"/>
      <w:r>
        <w:rPr>
          <w:rFonts w:ascii="Times New Roman" w:hAnsi="Times New Roman" w:cs="Times New Roman"/>
        </w:rPr>
        <w:t>ius</w:t>
      </w:r>
      <w:proofErr w:type="spellEnd"/>
      <w:r>
        <w:rPr>
          <w:rFonts w:ascii="Times New Roman" w:hAnsi="Times New Roman" w:cs="Times New Roman"/>
        </w:rPr>
        <w:t xml:space="preserve"> </w:t>
      </w:r>
      <w:proofErr w:type="spellStart"/>
      <w:r>
        <w:rPr>
          <w:rFonts w:ascii="Times New Roman" w:hAnsi="Times New Roman" w:cs="Times New Roman"/>
        </w:rPr>
        <w:t>superveniens</w:t>
      </w:r>
      <w:proofErr w:type="spellEnd"/>
      <w:r>
        <w:rPr>
          <w:rFonts w:ascii="Times New Roman" w:hAnsi="Times New Roman" w:cs="Times New Roman"/>
        </w:rPr>
        <w:t>, pp. 141 ss..</w:t>
      </w:r>
    </w:p>
  </w:footnote>
  <w:footnote w:id="51">
    <w:p w:rsidR="000F29E3" w:rsidRPr="007527B0" w:rsidRDefault="000F29E3" w:rsidP="0044588D">
      <w:pPr>
        <w:pStyle w:val="Testonotaapidipagina"/>
        <w:jc w:val="both"/>
        <w:rPr>
          <w:rFonts w:ascii="Times New Roman" w:hAnsi="Times New Roman" w:cs="Times New Roman"/>
        </w:rPr>
      </w:pPr>
      <w:r>
        <w:rPr>
          <w:rFonts w:ascii="Times New Roman" w:hAnsi="Times New Roman" w:cs="Times New Roman"/>
        </w:rPr>
        <w:tab/>
      </w:r>
      <w:r w:rsidRPr="007527B0">
        <w:rPr>
          <w:rStyle w:val="Rimandonotaapidipagina"/>
          <w:rFonts w:ascii="Times New Roman" w:hAnsi="Times New Roman" w:cs="Times New Roman"/>
        </w:rPr>
        <w:footnoteRef/>
      </w:r>
      <w:r w:rsidRPr="007527B0">
        <w:rPr>
          <w:rFonts w:ascii="Times New Roman" w:hAnsi="Times New Roman" w:cs="Times New Roman"/>
        </w:rPr>
        <w:t xml:space="preserve"> </w:t>
      </w:r>
      <w:r>
        <w:rPr>
          <w:rFonts w:ascii="Times New Roman" w:hAnsi="Times New Roman" w:cs="Times New Roman"/>
        </w:rPr>
        <w:t xml:space="preserve">Quelli che separano il Trattato di Roma dall'Accordo di Schengen, e che diventano ancora di più che si fa coincidere il </w:t>
      </w:r>
      <w:proofErr w:type="spellStart"/>
      <w:r>
        <w:rPr>
          <w:rFonts w:ascii="Times New Roman" w:hAnsi="Times New Roman" w:cs="Times New Roman"/>
          <w:i/>
        </w:rPr>
        <w:t>dies</w:t>
      </w:r>
      <w:proofErr w:type="spellEnd"/>
      <w:r>
        <w:rPr>
          <w:rFonts w:ascii="Times New Roman" w:hAnsi="Times New Roman" w:cs="Times New Roman"/>
          <w:i/>
        </w:rPr>
        <w:t xml:space="preserve"> a quo</w:t>
      </w:r>
      <w:r>
        <w:rPr>
          <w:rFonts w:ascii="Times New Roman" w:hAnsi="Times New Roman" w:cs="Times New Roman"/>
        </w:rPr>
        <w:t xml:space="preserve"> con il Trattato istitutivo della CECA. </w:t>
      </w:r>
    </w:p>
  </w:footnote>
  <w:footnote w:id="52">
    <w:p w:rsidR="000F29E3" w:rsidRPr="001A797A" w:rsidRDefault="000F29E3" w:rsidP="00E03979">
      <w:pPr>
        <w:pStyle w:val="Testonotaapidipagina"/>
        <w:jc w:val="both"/>
        <w:rPr>
          <w:rFonts w:ascii="Verdana" w:eastAsia="Times New Roman" w:hAnsi="Verdana" w:cs="Times New Roman"/>
          <w:color w:val="272B33"/>
          <w:lang w:eastAsia="it-IT"/>
        </w:rPr>
      </w:pPr>
      <w:r>
        <w:rPr>
          <w:rFonts w:ascii="Times New Roman" w:hAnsi="Times New Roman" w:cs="Times New Roman"/>
        </w:rPr>
        <w:tab/>
      </w:r>
      <w:r w:rsidRPr="00AF558E">
        <w:rPr>
          <w:rStyle w:val="Rimandonotaapidipagina"/>
          <w:rFonts w:ascii="Times New Roman" w:hAnsi="Times New Roman" w:cs="Times New Roman"/>
        </w:rPr>
        <w:footnoteRef/>
      </w:r>
      <w:r w:rsidRPr="00AF558E">
        <w:rPr>
          <w:rFonts w:ascii="Times New Roman" w:hAnsi="Times New Roman" w:cs="Times New Roman"/>
        </w:rPr>
        <w:t xml:space="preserve"> </w:t>
      </w:r>
      <w:r>
        <w:rPr>
          <w:rFonts w:ascii="Times New Roman" w:hAnsi="Times New Roman" w:cs="Times New Roman"/>
        </w:rPr>
        <w:t>Così, se «</w:t>
      </w:r>
      <w:r w:rsidRPr="00286CFE">
        <w:rPr>
          <w:rFonts w:ascii="Times New Roman" w:hAnsi="Times New Roman" w:cs="Times New Roman"/>
        </w:rPr>
        <w:t xml:space="preserve">gli artt. 69-71 della legge pongono invece, per l'assunzione di prove in Italia sulla base di sentenze o provvedimenti di giudici stranieri nonché per la notificazione di atti di autorità straniere, alcune regole che operano in via generale, ma che nel campo di applicazione delle convenzioni svolgono una funzione integrativa delle norme poste dalle convenzioni stesse. Parte della disciplina ribadisce quella già contenuta negli artt. 802 e 803 </w:t>
      </w:r>
      <w:proofErr w:type="spellStart"/>
      <w:r w:rsidRPr="00286CFE">
        <w:rPr>
          <w:rFonts w:ascii="Times New Roman" w:hAnsi="Times New Roman" w:cs="Times New Roman"/>
        </w:rPr>
        <w:t>c.p.c.</w:t>
      </w:r>
      <w:proofErr w:type="spellEnd"/>
      <w:r w:rsidRPr="00286CFE">
        <w:rPr>
          <w:rFonts w:ascii="Times New Roman" w:hAnsi="Times New Roman" w:cs="Times New Roman"/>
        </w:rPr>
        <w:t>, ora abrogati</w:t>
      </w:r>
      <w:r>
        <w:rPr>
          <w:rFonts w:ascii="Times New Roman" w:hAnsi="Times New Roman" w:cs="Times New Roman"/>
        </w:rPr>
        <w:t xml:space="preserve">» (G. </w:t>
      </w:r>
      <w:proofErr w:type="spellStart"/>
      <w:r>
        <w:rPr>
          <w:rFonts w:ascii="Times New Roman" w:hAnsi="Times New Roman" w:cs="Times New Roman"/>
        </w:rPr>
        <w:t>Gaja</w:t>
      </w:r>
      <w:proofErr w:type="spellEnd"/>
      <w:r>
        <w:rPr>
          <w:rFonts w:ascii="Times New Roman" w:hAnsi="Times New Roman" w:cs="Times New Roman"/>
        </w:rPr>
        <w:t xml:space="preserve">, </w:t>
      </w:r>
      <w:r>
        <w:rPr>
          <w:rFonts w:ascii="Times New Roman" w:hAnsi="Times New Roman" w:cs="Times New Roman"/>
          <w:i/>
        </w:rPr>
        <w:t>Le convenzioni internazionali e le nuove norme sulla giurisdizione e sul riconoscimento di sentenze straniere</w:t>
      </w:r>
      <w:r>
        <w:rPr>
          <w:rFonts w:ascii="Times New Roman" w:hAnsi="Times New Roman" w:cs="Times New Roman"/>
        </w:rPr>
        <w:t xml:space="preserve">, in </w:t>
      </w:r>
      <w:proofErr w:type="spellStart"/>
      <w:r>
        <w:rPr>
          <w:rFonts w:ascii="Times New Roman" w:hAnsi="Times New Roman" w:cs="Times New Roman"/>
          <w:i/>
        </w:rPr>
        <w:t>Riv</w:t>
      </w:r>
      <w:proofErr w:type="spellEnd"/>
      <w:r>
        <w:rPr>
          <w:rFonts w:ascii="Times New Roman" w:hAnsi="Times New Roman" w:cs="Times New Roman"/>
          <w:i/>
        </w:rPr>
        <w:t>. trim. dir. proc. civ.</w:t>
      </w:r>
      <w:r>
        <w:rPr>
          <w:rFonts w:ascii="Times New Roman" w:hAnsi="Times New Roman" w:cs="Times New Roman"/>
        </w:rPr>
        <w:t xml:space="preserve">, 1997, p. 841), occorrerà guardare proprio agli artt. 69-71 l. n. 218 del 1995, non potendo </w:t>
      </w:r>
      <w:r w:rsidRPr="00AF558E">
        <w:rPr>
          <w:rFonts w:ascii="Times New Roman" w:hAnsi="Times New Roman" w:cs="Times New Roman"/>
        </w:rPr>
        <w:t>–</w:t>
      </w:r>
      <w:r>
        <w:rPr>
          <w:rFonts w:ascii="Times New Roman" w:hAnsi="Times New Roman" w:cs="Times New Roman"/>
        </w:rPr>
        <w:t xml:space="preserve"> come s'è visto </w:t>
      </w:r>
      <w:r w:rsidRPr="00AF558E">
        <w:rPr>
          <w:rFonts w:ascii="Times New Roman" w:hAnsi="Times New Roman" w:cs="Times New Roman"/>
        </w:rPr>
        <w:t>–</w:t>
      </w:r>
      <w:r>
        <w:rPr>
          <w:rFonts w:ascii="Times New Roman" w:hAnsi="Times New Roman" w:cs="Times New Roman"/>
        </w:rPr>
        <w:t xml:space="preserve"> guardare alla normativa convenzionale. </w:t>
      </w:r>
    </w:p>
  </w:footnote>
  <w:footnote w:id="53">
    <w:p w:rsidR="000F29E3" w:rsidRPr="006C4E4E" w:rsidRDefault="000F29E3" w:rsidP="0044588D">
      <w:pPr>
        <w:pStyle w:val="Testonotaapidipagina"/>
        <w:jc w:val="both"/>
        <w:rPr>
          <w:rFonts w:ascii="Times New Roman" w:hAnsi="Times New Roman" w:cs="Times New Roman"/>
        </w:rPr>
      </w:pPr>
      <w:r>
        <w:rPr>
          <w:rFonts w:ascii="Times New Roman" w:hAnsi="Times New Roman" w:cs="Times New Roman"/>
        </w:rPr>
        <w:tab/>
      </w:r>
      <w:r w:rsidRPr="006C4E4E">
        <w:rPr>
          <w:rStyle w:val="Rimandonotaapidipagina"/>
          <w:rFonts w:ascii="Times New Roman" w:hAnsi="Times New Roman" w:cs="Times New Roman"/>
        </w:rPr>
        <w:footnoteRef/>
      </w:r>
      <w:r w:rsidRPr="006C4E4E">
        <w:rPr>
          <w:rFonts w:ascii="Times New Roman" w:hAnsi="Times New Roman" w:cs="Times New Roman"/>
        </w:rPr>
        <w:t xml:space="preserve"> </w:t>
      </w:r>
      <w:r>
        <w:rPr>
          <w:rFonts w:ascii="Times New Roman" w:hAnsi="Times New Roman" w:cs="Times New Roman"/>
        </w:rPr>
        <w:t xml:space="preserve">Interessante la considerazione di T. </w:t>
      </w:r>
      <w:proofErr w:type="spellStart"/>
      <w:r>
        <w:rPr>
          <w:rFonts w:ascii="Times New Roman" w:hAnsi="Times New Roman" w:cs="Times New Roman"/>
        </w:rPr>
        <w:t>Ballarino</w:t>
      </w:r>
      <w:proofErr w:type="spellEnd"/>
      <w:r>
        <w:rPr>
          <w:rFonts w:ascii="Times New Roman" w:hAnsi="Times New Roman" w:cs="Times New Roman"/>
        </w:rPr>
        <w:t xml:space="preserve">, </w:t>
      </w:r>
      <w:r>
        <w:rPr>
          <w:rFonts w:ascii="Times New Roman" w:hAnsi="Times New Roman" w:cs="Times New Roman"/>
          <w:i/>
        </w:rPr>
        <w:t>Diritto internazionale</w:t>
      </w:r>
      <w:r>
        <w:rPr>
          <w:rFonts w:ascii="Times New Roman" w:hAnsi="Times New Roman" w:cs="Times New Roman"/>
        </w:rPr>
        <w:t>,  cit., p. 106, nota 4: «</w:t>
      </w:r>
      <w:r>
        <w:rPr>
          <w:rFonts w:ascii="Times New Roman" w:hAnsi="Times New Roman" w:cs="Times New Roman"/>
          <w:i/>
        </w:rPr>
        <w:t>manca una giurisprudenza in proposito</w:t>
      </w:r>
      <w:r>
        <w:rPr>
          <w:rFonts w:ascii="Times New Roman" w:hAnsi="Times New Roman" w:cs="Times New Roman"/>
        </w:rPr>
        <w:t>». Si segnala, cioè, quanto il tema sia nuovo e abbisogni ancora di solide ed univoche interpretazioni.</w:t>
      </w:r>
    </w:p>
  </w:footnote>
  <w:footnote w:id="54">
    <w:p w:rsidR="000F29E3" w:rsidRPr="00321DCD" w:rsidRDefault="000F29E3" w:rsidP="00E03979">
      <w:pPr>
        <w:pStyle w:val="Testonotaapidipagina"/>
        <w:jc w:val="both"/>
        <w:rPr>
          <w:rFonts w:ascii="Times New Roman" w:hAnsi="Times New Roman" w:cs="Times New Roman"/>
        </w:rPr>
      </w:pPr>
      <w:r>
        <w:rPr>
          <w:rFonts w:ascii="Times New Roman" w:hAnsi="Times New Roman" w:cs="Times New Roman"/>
        </w:rPr>
        <w:tab/>
      </w:r>
      <w:r w:rsidRPr="00321DCD">
        <w:rPr>
          <w:rStyle w:val="Rimandonotaapidipagina"/>
          <w:rFonts w:ascii="Times New Roman" w:hAnsi="Times New Roman" w:cs="Times New Roman"/>
        </w:rPr>
        <w:footnoteRef/>
      </w:r>
      <w:r w:rsidRPr="00321DCD">
        <w:rPr>
          <w:rFonts w:ascii="Times New Roman" w:hAnsi="Times New Roman" w:cs="Times New Roman"/>
        </w:rPr>
        <w:t xml:space="preserve"> </w:t>
      </w:r>
      <w:r>
        <w:rPr>
          <w:rFonts w:ascii="Times New Roman" w:hAnsi="Times New Roman" w:cs="Times New Roman"/>
        </w:rPr>
        <w:t xml:space="preserve">Cass. civ., sez. I, 3 settembre 2015, n. 17519. La sentenza è stata reperita con il motore di ricerca della banca dati </w:t>
      </w:r>
      <w:proofErr w:type="spellStart"/>
      <w:r>
        <w:rPr>
          <w:rFonts w:ascii="Times New Roman" w:hAnsi="Times New Roman" w:cs="Times New Roman"/>
          <w:i/>
        </w:rPr>
        <w:t>Dejure</w:t>
      </w:r>
      <w:proofErr w:type="spellEnd"/>
      <w:r>
        <w:rPr>
          <w:rFonts w:ascii="Times New Roman" w:hAnsi="Times New Roman" w:cs="Times New Roman"/>
        </w:rPr>
        <w:t>.</w:t>
      </w:r>
    </w:p>
  </w:footnote>
  <w:footnote w:id="55">
    <w:p w:rsidR="000F29E3" w:rsidRPr="00321DCD" w:rsidRDefault="000F29E3" w:rsidP="00E03979">
      <w:pPr>
        <w:pStyle w:val="Testonotaapidipagina"/>
        <w:jc w:val="both"/>
        <w:rPr>
          <w:rFonts w:ascii="Times New Roman" w:hAnsi="Times New Roman" w:cs="Times New Roman"/>
        </w:rPr>
      </w:pPr>
      <w:r>
        <w:rPr>
          <w:rFonts w:ascii="Times New Roman" w:hAnsi="Times New Roman" w:cs="Times New Roman"/>
        </w:rPr>
        <w:tab/>
      </w:r>
      <w:r w:rsidRPr="00321DCD">
        <w:rPr>
          <w:rStyle w:val="Rimandonotaapidipagina"/>
          <w:rFonts w:ascii="Times New Roman" w:hAnsi="Times New Roman" w:cs="Times New Roman"/>
        </w:rPr>
        <w:footnoteRef/>
      </w:r>
      <w:r w:rsidRPr="00321DCD">
        <w:rPr>
          <w:rFonts w:ascii="Times New Roman" w:hAnsi="Times New Roman" w:cs="Times New Roman"/>
        </w:rPr>
        <w:t xml:space="preserve"> </w:t>
      </w:r>
      <w:r>
        <w:rPr>
          <w:rFonts w:ascii="Times New Roman" w:hAnsi="Times New Roman" w:cs="Times New Roman"/>
        </w:rPr>
        <w:t xml:space="preserve">C. </w:t>
      </w:r>
      <w:proofErr w:type="spellStart"/>
      <w:r>
        <w:rPr>
          <w:rFonts w:ascii="Times New Roman" w:hAnsi="Times New Roman" w:cs="Times New Roman"/>
        </w:rPr>
        <w:t>giust</w:t>
      </w:r>
      <w:proofErr w:type="spellEnd"/>
      <w:r>
        <w:rPr>
          <w:rFonts w:ascii="Times New Roman" w:hAnsi="Times New Roman" w:cs="Times New Roman"/>
        </w:rPr>
        <w:t xml:space="preserve">. CE, 2 aprile 2009, in causa C-394/07. Pronuncia individuata con il </w:t>
      </w:r>
      <w:proofErr w:type="spellStart"/>
      <w:r>
        <w:rPr>
          <w:rFonts w:ascii="Times New Roman" w:hAnsi="Times New Roman" w:cs="Times New Roman"/>
          <w:i/>
        </w:rPr>
        <w:t>Dejure</w:t>
      </w:r>
      <w:proofErr w:type="spellEnd"/>
      <w:r>
        <w:rPr>
          <w:rFonts w:ascii="Times New Roman" w:hAnsi="Times New Roman" w:cs="Times New Roman"/>
        </w:rPr>
        <w:t>.</w:t>
      </w:r>
    </w:p>
  </w:footnote>
  <w:footnote w:id="56">
    <w:p w:rsidR="000F29E3" w:rsidRPr="00321DCD" w:rsidRDefault="000F29E3" w:rsidP="00E03979">
      <w:pPr>
        <w:pStyle w:val="Testonotaapidipagina"/>
        <w:jc w:val="both"/>
        <w:rPr>
          <w:rFonts w:ascii="Times New Roman" w:hAnsi="Times New Roman" w:cs="Times New Roman"/>
        </w:rPr>
      </w:pPr>
      <w:r>
        <w:rPr>
          <w:rFonts w:ascii="Times New Roman" w:hAnsi="Times New Roman" w:cs="Times New Roman"/>
        </w:rPr>
        <w:tab/>
      </w:r>
      <w:r w:rsidRPr="00321DCD">
        <w:rPr>
          <w:rStyle w:val="Rimandonotaapidipagina"/>
          <w:rFonts w:ascii="Times New Roman" w:hAnsi="Times New Roman" w:cs="Times New Roman"/>
        </w:rPr>
        <w:footnoteRef/>
      </w:r>
      <w:r w:rsidRPr="00321DCD">
        <w:rPr>
          <w:rFonts w:ascii="Times New Roman" w:hAnsi="Times New Roman" w:cs="Times New Roman"/>
        </w:rPr>
        <w:t xml:space="preserve"> </w:t>
      </w:r>
      <w:r>
        <w:rPr>
          <w:rFonts w:ascii="Times New Roman" w:hAnsi="Times New Roman" w:cs="Times New Roman"/>
        </w:rPr>
        <w:t xml:space="preserve">In tema, M.C. Paglietti, </w:t>
      </w:r>
      <w:r>
        <w:rPr>
          <w:rFonts w:ascii="Times New Roman" w:hAnsi="Times New Roman" w:cs="Times New Roman"/>
          <w:i/>
        </w:rPr>
        <w:t>Il Regolamento n. 655 del 2014 sull'ordinanza di sequestro conservativo dei conti bancari: effettività della tutela e convergenza tra sistemi di giustizia</w:t>
      </w:r>
      <w:r>
        <w:rPr>
          <w:rFonts w:ascii="Times New Roman" w:hAnsi="Times New Roman" w:cs="Times New Roman"/>
        </w:rPr>
        <w:t xml:space="preserve">, in </w:t>
      </w:r>
      <w:proofErr w:type="spellStart"/>
      <w:r>
        <w:rPr>
          <w:rFonts w:ascii="Times New Roman" w:hAnsi="Times New Roman" w:cs="Times New Roman"/>
          <w:i/>
        </w:rPr>
        <w:t>Riv</w:t>
      </w:r>
      <w:proofErr w:type="spellEnd"/>
      <w:r>
        <w:rPr>
          <w:rFonts w:ascii="Times New Roman" w:hAnsi="Times New Roman" w:cs="Times New Roman"/>
          <w:i/>
        </w:rPr>
        <w:t>. trim. dir. proc. civ.</w:t>
      </w:r>
      <w:r>
        <w:rPr>
          <w:rFonts w:ascii="Times New Roman" w:hAnsi="Times New Roman" w:cs="Times New Roman"/>
        </w:rPr>
        <w:t xml:space="preserve">, 2015, pp. 1296-1297. </w:t>
      </w:r>
    </w:p>
  </w:footnote>
  <w:footnote w:id="57">
    <w:p w:rsidR="000F29E3" w:rsidRPr="00770258" w:rsidRDefault="000F29E3" w:rsidP="00E03979">
      <w:pPr>
        <w:pStyle w:val="Testonotaapidipagina"/>
        <w:jc w:val="both"/>
        <w:rPr>
          <w:rFonts w:ascii="Times New Roman" w:hAnsi="Times New Roman" w:cs="Times New Roman"/>
          <w:i/>
        </w:rPr>
      </w:pPr>
      <w:r>
        <w:rPr>
          <w:rFonts w:ascii="Times New Roman" w:hAnsi="Times New Roman" w:cs="Times New Roman"/>
        </w:rPr>
        <w:tab/>
      </w:r>
      <w:r w:rsidRPr="00770258">
        <w:rPr>
          <w:rStyle w:val="Rimandonotaapidipagina"/>
          <w:rFonts w:ascii="Times New Roman" w:hAnsi="Times New Roman" w:cs="Times New Roman"/>
        </w:rPr>
        <w:footnoteRef/>
      </w:r>
      <w:r w:rsidRPr="00770258">
        <w:rPr>
          <w:rFonts w:ascii="Times New Roman" w:hAnsi="Times New Roman" w:cs="Times New Roman"/>
        </w:rPr>
        <w:t xml:space="preserve"> </w:t>
      </w:r>
      <w:r>
        <w:rPr>
          <w:rFonts w:ascii="Times New Roman" w:hAnsi="Times New Roman" w:cs="Times New Roman"/>
        </w:rPr>
        <w:t>Regolamento CE n. 2201/2003 del Consiglio del 27 novembre 2003, relativo «</w:t>
      </w:r>
      <w:r w:rsidRPr="00286CFE">
        <w:rPr>
          <w:rFonts w:ascii="Times New Roman" w:hAnsi="Times New Roman" w:cs="Times New Roman"/>
        </w:rPr>
        <w:t>alla competenza, al riconoscimento e all'esecuzione delle decisioni in materia matrimoniale e in materia di responsabilità genitoriale, che abroga il regolamento (CE) n. 1347/2000</w:t>
      </w:r>
      <w:r>
        <w:rPr>
          <w:rFonts w:ascii="Times New Roman" w:hAnsi="Times New Roman" w:cs="Times New Roman"/>
        </w:rPr>
        <w:t>».</w:t>
      </w:r>
    </w:p>
  </w:footnote>
  <w:footnote w:id="58">
    <w:p w:rsidR="000F29E3" w:rsidRPr="00770258" w:rsidRDefault="000F29E3" w:rsidP="00E03979">
      <w:pPr>
        <w:pStyle w:val="Testonotaapidipagina"/>
        <w:jc w:val="both"/>
        <w:rPr>
          <w:rFonts w:ascii="Times New Roman" w:hAnsi="Times New Roman" w:cs="Times New Roman"/>
        </w:rPr>
      </w:pPr>
      <w:r>
        <w:rPr>
          <w:rFonts w:ascii="Times New Roman" w:hAnsi="Times New Roman" w:cs="Times New Roman"/>
        </w:rPr>
        <w:tab/>
      </w:r>
      <w:r w:rsidRPr="00770258">
        <w:rPr>
          <w:rStyle w:val="Rimandonotaapidipagina"/>
          <w:rFonts w:ascii="Times New Roman" w:hAnsi="Times New Roman" w:cs="Times New Roman"/>
        </w:rPr>
        <w:footnoteRef/>
      </w:r>
      <w:r w:rsidRPr="00770258">
        <w:rPr>
          <w:rFonts w:ascii="Times New Roman" w:hAnsi="Times New Roman" w:cs="Times New Roman"/>
        </w:rPr>
        <w:t xml:space="preserve"> </w:t>
      </w:r>
      <w:r>
        <w:rPr>
          <w:rFonts w:ascii="Times New Roman" w:hAnsi="Times New Roman" w:cs="Times New Roman"/>
        </w:rPr>
        <w:t xml:space="preserve">Su queste tematiche, P. </w:t>
      </w:r>
      <w:proofErr w:type="spellStart"/>
      <w:r w:rsidRPr="00770258">
        <w:rPr>
          <w:rFonts w:ascii="Times New Roman" w:hAnsi="Times New Roman" w:cs="Times New Roman"/>
        </w:rPr>
        <w:t>Picone</w:t>
      </w:r>
      <w:proofErr w:type="spellEnd"/>
      <w:r w:rsidRPr="00770258">
        <w:rPr>
          <w:rFonts w:ascii="Times New Roman" w:hAnsi="Times New Roman" w:cs="Times New Roman"/>
        </w:rPr>
        <w:t xml:space="preserve">, </w:t>
      </w:r>
      <w:r w:rsidRPr="00770258">
        <w:rPr>
          <w:rFonts w:ascii="Times New Roman" w:hAnsi="Times New Roman" w:cs="Times New Roman"/>
          <w:i/>
        </w:rPr>
        <w:t>La nuova Convenzione dell'</w:t>
      </w:r>
      <w:proofErr w:type="spellStart"/>
      <w:r w:rsidRPr="00770258">
        <w:rPr>
          <w:rFonts w:ascii="Times New Roman" w:hAnsi="Times New Roman" w:cs="Times New Roman"/>
          <w:i/>
        </w:rPr>
        <w:t>Aja</w:t>
      </w:r>
      <w:proofErr w:type="spellEnd"/>
      <w:r w:rsidRPr="00770258">
        <w:rPr>
          <w:rFonts w:ascii="Times New Roman" w:hAnsi="Times New Roman" w:cs="Times New Roman"/>
          <w:i/>
        </w:rPr>
        <w:t xml:space="preserve"> sulla protezione dei minori</w:t>
      </w:r>
      <w:r w:rsidRPr="00770258">
        <w:rPr>
          <w:rFonts w:ascii="Times New Roman" w:hAnsi="Times New Roman" w:cs="Times New Roman"/>
        </w:rPr>
        <w:t xml:space="preserve">, </w:t>
      </w:r>
      <w:r>
        <w:rPr>
          <w:rFonts w:ascii="Times New Roman" w:hAnsi="Times New Roman" w:cs="Times New Roman"/>
        </w:rPr>
        <w:t xml:space="preserve">in </w:t>
      </w:r>
      <w:proofErr w:type="spellStart"/>
      <w:r w:rsidRPr="00770258">
        <w:rPr>
          <w:rFonts w:ascii="Times New Roman" w:hAnsi="Times New Roman" w:cs="Times New Roman"/>
          <w:i/>
        </w:rPr>
        <w:t>Riv</w:t>
      </w:r>
      <w:proofErr w:type="spellEnd"/>
      <w:r w:rsidRPr="00770258">
        <w:rPr>
          <w:rFonts w:ascii="Times New Roman" w:hAnsi="Times New Roman" w:cs="Times New Roman"/>
          <w:i/>
        </w:rPr>
        <w:t xml:space="preserve">. dir. </w:t>
      </w:r>
      <w:proofErr w:type="spellStart"/>
      <w:r w:rsidRPr="00770258">
        <w:rPr>
          <w:rFonts w:ascii="Times New Roman" w:hAnsi="Times New Roman" w:cs="Times New Roman"/>
          <w:i/>
        </w:rPr>
        <w:t>int</w:t>
      </w:r>
      <w:r>
        <w:rPr>
          <w:rFonts w:ascii="Times New Roman" w:hAnsi="Times New Roman" w:cs="Times New Roman"/>
          <w:i/>
        </w:rPr>
        <w:t>ern</w:t>
      </w:r>
      <w:proofErr w:type="spellEnd"/>
      <w:r w:rsidRPr="00770258">
        <w:rPr>
          <w:rFonts w:ascii="Times New Roman" w:hAnsi="Times New Roman" w:cs="Times New Roman"/>
          <w:i/>
        </w:rPr>
        <w:t>. priv. proc.</w:t>
      </w:r>
      <w:r>
        <w:rPr>
          <w:rFonts w:ascii="Times New Roman" w:hAnsi="Times New Roman" w:cs="Times New Roman"/>
        </w:rPr>
        <w:t>, 1996, pp. 713 ss..</w:t>
      </w:r>
    </w:p>
  </w:footnote>
  <w:footnote w:id="59">
    <w:p w:rsidR="000F29E3" w:rsidRPr="002B0102" w:rsidRDefault="000F29E3" w:rsidP="00E03979">
      <w:pPr>
        <w:pStyle w:val="Testonotaapidipagina"/>
        <w:jc w:val="both"/>
        <w:rPr>
          <w:rFonts w:ascii="Times New Roman" w:hAnsi="Times New Roman" w:cs="Times New Roman"/>
        </w:rPr>
      </w:pPr>
      <w:r>
        <w:rPr>
          <w:rFonts w:ascii="Times New Roman" w:hAnsi="Times New Roman" w:cs="Times New Roman"/>
        </w:rPr>
        <w:tab/>
      </w:r>
      <w:r w:rsidRPr="002B0102">
        <w:rPr>
          <w:rStyle w:val="Rimandonotaapidipagina"/>
          <w:rFonts w:ascii="Times New Roman" w:hAnsi="Times New Roman" w:cs="Times New Roman"/>
        </w:rPr>
        <w:footnoteRef/>
      </w:r>
      <w:r w:rsidRPr="002B0102">
        <w:rPr>
          <w:rFonts w:ascii="Times New Roman" w:hAnsi="Times New Roman" w:cs="Times New Roman"/>
        </w:rPr>
        <w:t xml:space="preserve"> </w:t>
      </w:r>
      <w:r>
        <w:rPr>
          <w:rFonts w:ascii="Times New Roman" w:hAnsi="Times New Roman" w:cs="Times New Roman"/>
        </w:rPr>
        <w:t xml:space="preserve">Ancora Cass. civ., sez. I, 3 settembre 2015, cit., ma pure, conforme, Cass. civ., sez. I, 17 febbraio 2010, n. 3823, sempre dal </w:t>
      </w:r>
      <w:proofErr w:type="spellStart"/>
      <w:r>
        <w:rPr>
          <w:rFonts w:ascii="Times New Roman" w:hAnsi="Times New Roman" w:cs="Times New Roman"/>
          <w:i/>
        </w:rPr>
        <w:t>Dejure</w:t>
      </w:r>
      <w:proofErr w:type="spellEnd"/>
      <w:r>
        <w:rPr>
          <w:rFonts w:ascii="Times New Roman" w:hAnsi="Times New Roman" w:cs="Times New Roman"/>
        </w:rPr>
        <w:t xml:space="preserve">. </w:t>
      </w:r>
    </w:p>
  </w:footnote>
  <w:footnote w:id="60">
    <w:p w:rsidR="000F29E3" w:rsidRPr="003E0375" w:rsidRDefault="000F29E3" w:rsidP="00BC4280">
      <w:pPr>
        <w:pStyle w:val="Testonotaapidipagina"/>
        <w:jc w:val="both"/>
        <w:rPr>
          <w:rFonts w:ascii="Times New Roman" w:hAnsi="Times New Roman" w:cs="Times New Roman"/>
        </w:rPr>
      </w:pPr>
      <w:r>
        <w:rPr>
          <w:rFonts w:ascii="Times New Roman" w:hAnsi="Times New Roman" w:cs="Times New Roman"/>
        </w:rPr>
        <w:tab/>
      </w:r>
      <w:r w:rsidRPr="003E0375">
        <w:rPr>
          <w:rStyle w:val="Rimandonotaapidipagina"/>
          <w:rFonts w:ascii="Times New Roman" w:hAnsi="Times New Roman" w:cs="Times New Roman"/>
        </w:rPr>
        <w:footnoteRef/>
      </w:r>
      <w:r w:rsidRPr="003E0375">
        <w:rPr>
          <w:rFonts w:ascii="Times New Roman" w:hAnsi="Times New Roman" w:cs="Times New Roman"/>
        </w:rPr>
        <w:t xml:space="preserve"> </w:t>
      </w:r>
      <w:r>
        <w:rPr>
          <w:rFonts w:ascii="Times New Roman" w:hAnsi="Times New Roman" w:cs="Times New Roman"/>
        </w:rPr>
        <w:t xml:space="preserve">Ma anche sicuramente acquisito </w:t>
      </w:r>
      <w:r>
        <w:rPr>
          <w:rFonts w:ascii="Times New Roman" w:hAnsi="Times New Roman" w:cs="Times New Roman"/>
          <w:i/>
        </w:rPr>
        <w:t>ex</w:t>
      </w:r>
      <w:r>
        <w:rPr>
          <w:rFonts w:ascii="Times New Roman" w:hAnsi="Times New Roman" w:cs="Times New Roman"/>
        </w:rPr>
        <w:t xml:space="preserve"> art. 507 </w:t>
      </w:r>
      <w:proofErr w:type="spellStart"/>
      <w:r>
        <w:rPr>
          <w:rFonts w:ascii="Times New Roman" w:hAnsi="Times New Roman" w:cs="Times New Roman"/>
        </w:rPr>
        <w:t>c.p.p.</w:t>
      </w:r>
      <w:proofErr w:type="spellEnd"/>
      <w:r>
        <w:rPr>
          <w:rFonts w:ascii="Times New Roman" w:hAnsi="Times New Roman" w:cs="Times New Roman"/>
        </w:rPr>
        <w:t>, ad esso riferendosi - per ormai consolidata tradizione giurisprudenziale - la prova «</w:t>
      </w:r>
      <w:r w:rsidRPr="00286CFE">
        <w:rPr>
          <w:rFonts w:ascii="Times New Roman" w:hAnsi="Times New Roman" w:cs="Times New Roman"/>
        </w:rPr>
        <w:t>non precedentemente disposta, preesistente e conosciuta, di cui risulti la rilevanza epistemologica ... dell'attività probatoria svolta in giudizio</w:t>
      </w:r>
      <w:r>
        <w:rPr>
          <w:rFonts w:ascii="Times New Roman" w:hAnsi="Times New Roman" w:cs="Times New Roman"/>
        </w:rPr>
        <w:t xml:space="preserve">». Così, L. </w:t>
      </w:r>
      <w:proofErr w:type="spellStart"/>
      <w:r>
        <w:rPr>
          <w:rFonts w:ascii="Times New Roman" w:hAnsi="Times New Roman" w:cs="Times New Roman"/>
        </w:rPr>
        <w:t>Caraceni</w:t>
      </w:r>
      <w:proofErr w:type="spellEnd"/>
      <w:r>
        <w:rPr>
          <w:rFonts w:ascii="Times New Roman" w:hAnsi="Times New Roman" w:cs="Times New Roman"/>
        </w:rPr>
        <w:t xml:space="preserve">, </w:t>
      </w:r>
      <w:r>
        <w:rPr>
          <w:rFonts w:ascii="Times New Roman" w:hAnsi="Times New Roman" w:cs="Times New Roman"/>
          <w:i/>
        </w:rPr>
        <w:t>Poteri d'ufficio in materia probatoria e imparzialità del giudice penale</w:t>
      </w:r>
      <w:r>
        <w:rPr>
          <w:rFonts w:ascii="Times New Roman" w:hAnsi="Times New Roman" w:cs="Times New Roman"/>
        </w:rPr>
        <w:t xml:space="preserve">, Torino, 2007, pp. 169-170. Il passo è, altresì, richiamato da C. Fiorio, </w:t>
      </w:r>
      <w:r>
        <w:rPr>
          <w:rFonts w:ascii="Times New Roman" w:hAnsi="Times New Roman" w:cs="Times New Roman"/>
          <w:i/>
        </w:rPr>
        <w:t>La prova nuova nel processo penale</w:t>
      </w:r>
      <w:r>
        <w:rPr>
          <w:rFonts w:ascii="Times New Roman" w:hAnsi="Times New Roman" w:cs="Times New Roman"/>
        </w:rPr>
        <w:t xml:space="preserve">, Padova, 2008, p. 28. </w:t>
      </w:r>
    </w:p>
  </w:footnote>
  <w:footnote w:id="61">
    <w:p w:rsidR="000F29E3" w:rsidRDefault="000F29E3" w:rsidP="002C6FB6">
      <w:pPr>
        <w:pStyle w:val="Testonotaapidipagina"/>
        <w:jc w:val="both"/>
        <w:rPr>
          <w:rFonts w:ascii="Times New Roman" w:hAnsi="Times New Roman" w:cs="Times New Roman"/>
        </w:rPr>
      </w:pPr>
      <w:r>
        <w:rPr>
          <w:rFonts w:ascii="Times New Roman" w:hAnsi="Times New Roman" w:cs="Times New Roman"/>
        </w:rPr>
        <w:tab/>
      </w:r>
      <w:r w:rsidRPr="00F564A1">
        <w:rPr>
          <w:rStyle w:val="Rimandonotaapidipagina"/>
          <w:rFonts w:ascii="Times New Roman" w:hAnsi="Times New Roman" w:cs="Times New Roman"/>
        </w:rPr>
        <w:footnoteRef/>
      </w:r>
      <w:r w:rsidRPr="00F564A1">
        <w:rPr>
          <w:rFonts w:ascii="Times New Roman" w:hAnsi="Times New Roman" w:cs="Times New Roman"/>
        </w:rPr>
        <w:t xml:space="preserve"> </w:t>
      </w:r>
      <w:r>
        <w:rPr>
          <w:rFonts w:ascii="Times New Roman" w:hAnsi="Times New Roman" w:cs="Times New Roman"/>
        </w:rPr>
        <w:t>Si richiamano queste parole: «</w:t>
      </w:r>
      <w:r w:rsidRPr="00286CFE">
        <w:rPr>
          <w:rFonts w:ascii="Times New Roman" w:hAnsi="Times New Roman" w:cs="Times New Roman"/>
        </w:rPr>
        <w:t>sotto il profilo della fonte, si è posto l'ulteriore quesito se la dizione normativa "divieti stabiliti dalla legge" consente di sussumere nell'orbita dell'inutilizzabilità anche la c.d. "prova illecita", ossia acquisita in dispregio di una norma penale sostanziale. La risposta affermativa muove dall'ampia formula del precetto: il generico riferimento alla "legge" non impone di ancorare l'esistenza di un limite d'uso alla violazione della sola fattispecie processuale</w:t>
      </w:r>
      <w:r>
        <w:rPr>
          <w:rFonts w:ascii="Times New Roman" w:hAnsi="Times New Roman" w:cs="Times New Roman"/>
        </w:rPr>
        <w:t xml:space="preserve">» (A. Scalfati, D. Servi, </w:t>
      </w:r>
      <w:r>
        <w:rPr>
          <w:rFonts w:ascii="Times New Roman" w:hAnsi="Times New Roman" w:cs="Times New Roman"/>
          <w:i/>
        </w:rPr>
        <w:t>Premesse sulla prova penale</w:t>
      </w:r>
      <w:r>
        <w:rPr>
          <w:rFonts w:ascii="Times New Roman" w:hAnsi="Times New Roman" w:cs="Times New Roman"/>
        </w:rPr>
        <w:t xml:space="preserve">, in G. </w:t>
      </w:r>
      <w:proofErr w:type="spellStart"/>
      <w:r>
        <w:rPr>
          <w:rFonts w:ascii="Times New Roman" w:hAnsi="Times New Roman" w:cs="Times New Roman"/>
        </w:rPr>
        <w:t>Spangher</w:t>
      </w:r>
      <w:proofErr w:type="spellEnd"/>
      <w:r>
        <w:rPr>
          <w:rFonts w:ascii="Times New Roman" w:hAnsi="Times New Roman" w:cs="Times New Roman"/>
        </w:rPr>
        <w:t xml:space="preserve"> (a cura di), </w:t>
      </w:r>
      <w:r>
        <w:rPr>
          <w:rFonts w:ascii="Times New Roman" w:hAnsi="Times New Roman" w:cs="Times New Roman"/>
          <w:i/>
        </w:rPr>
        <w:t>Trattato di procedura penale</w:t>
      </w:r>
      <w:r>
        <w:rPr>
          <w:rFonts w:ascii="Times New Roman" w:hAnsi="Times New Roman" w:cs="Times New Roman"/>
        </w:rPr>
        <w:t xml:space="preserve">, vol. II, </w:t>
      </w:r>
      <w:r>
        <w:rPr>
          <w:rFonts w:ascii="Times New Roman" w:hAnsi="Times New Roman" w:cs="Times New Roman"/>
          <w:i/>
        </w:rPr>
        <w:t>Prove e misure cautelari</w:t>
      </w:r>
      <w:r>
        <w:rPr>
          <w:rFonts w:ascii="Times New Roman" w:hAnsi="Times New Roman" w:cs="Times New Roman"/>
        </w:rPr>
        <w:t xml:space="preserve">, tomo I, </w:t>
      </w:r>
      <w:r>
        <w:rPr>
          <w:rFonts w:ascii="Times New Roman" w:hAnsi="Times New Roman" w:cs="Times New Roman"/>
          <w:i/>
        </w:rPr>
        <w:t>Le prove</w:t>
      </w:r>
      <w:r>
        <w:rPr>
          <w:rFonts w:ascii="Times New Roman" w:hAnsi="Times New Roman" w:cs="Times New Roman"/>
        </w:rPr>
        <w:t>, a cura di A. Scalfati, Torino, 2009, p. 45.</w:t>
      </w:r>
    </w:p>
    <w:p w:rsidR="000F29E3" w:rsidRDefault="000F29E3" w:rsidP="002C6FB6">
      <w:pPr>
        <w:pStyle w:val="Testonotaapidipagina"/>
        <w:jc w:val="both"/>
        <w:rPr>
          <w:rFonts w:ascii="Times New Roman" w:hAnsi="Times New Roman" w:cs="Times New Roman"/>
        </w:rPr>
      </w:pPr>
      <w:r>
        <w:rPr>
          <w:rFonts w:ascii="Times New Roman" w:hAnsi="Times New Roman" w:cs="Times New Roman"/>
        </w:rPr>
        <w:tab/>
        <w:t>Altro Autore, poi, distingue come segue: «</w:t>
      </w:r>
      <w:r w:rsidRPr="00286CFE">
        <w:rPr>
          <w:rFonts w:ascii="Times New Roman" w:hAnsi="Times New Roman" w:cs="Times New Roman"/>
        </w:rPr>
        <w:t>appare più corretto usare il termine prova "illecita" per indicare la prova ottenuta a mezzo di atti vietati dal diritto penale, in contrapposizione alla prova "illegittima" in quanto acquisita in contrasto con divieti previsti da norme di diritto processuale penale</w:t>
      </w:r>
      <w:r>
        <w:rPr>
          <w:rFonts w:ascii="Times New Roman" w:hAnsi="Times New Roman" w:cs="Times New Roman"/>
        </w:rPr>
        <w:t xml:space="preserve">». Così, P. </w:t>
      </w:r>
      <w:proofErr w:type="spellStart"/>
      <w:r>
        <w:rPr>
          <w:rFonts w:ascii="Times New Roman" w:hAnsi="Times New Roman" w:cs="Times New Roman"/>
        </w:rPr>
        <w:t>Felicioni</w:t>
      </w:r>
      <w:proofErr w:type="spellEnd"/>
      <w:r>
        <w:rPr>
          <w:rFonts w:ascii="Times New Roman" w:hAnsi="Times New Roman" w:cs="Times New Roman"/>
        </w:rPr>
        <w:t xml:space="preserve">, </w:t>
      </w:r>
      <w:r>
        <w:rPr>
          <w:rFonts w:ascii="Times New Roman" w:hAnsi="Times New Roman" w:cs="Times New Roman"/>
          <w:i/>
        </w:rPr>
        <w:t>Perquisizioni</w:t>
      </w:r>
      <w:r>
        <w:rPr>
          <w:rFonts w:ascii="Times New Roman" w:hAnsi="Times New Roman" w:cs="Times New Roman"/>
        </w:rPr>
        <w:t xml:space="preserve">, in P. </w:t>
      </w:r>
      <w:proofErr w:type="spellStart"/>
      <w:r>
        <w:rPr>
          <w:rFonts w:ascii="Times New Roman" w:hAnsi="Times New Roman" w:cs="Times New Roman"/>
        </w:rPr>
        <w:t>Ferrua</w:t>
      </w:r>
      <w:proofErr w:type="spellEnd"/>
      <w:r>
        <w:rPr>
          <w:rFonts w:ascii="Times New Roman" w:hAnsi="Times New Roman" w:cs="Times New Roman"/>
        </w:rPr>
        <w:t xml:space="preserve">, E. </w:t>
      </w:r>
      <w:proofErr w:type="spellStart"/>
      <w:r>
        <w:rPr>
          <w:rFonts w:ascii="Times New Roman" w:hAnsi="Times New Roman" w:cs="Times New Roman"/>
        </w:rPr>
        <w:t>Marzaduri</w:t>
      </w:r>
      <w:proofErr w:type="spellEnd"/>
      <w:r>
        <w:rPr>
          <w:rFonts w:ascii="Times New Roman" w:hAnsi="Times New Roman" w:cs="Times New Roman"/>
        </w:rPr>
        <w:t xml:space="preserve">, G. </w:t>
      </w:r>
      <w:proofErr w:type="spellStart"/>
      <w:r>
        <w:rPr>
          <w:rFonts w:ascii="Times New Roman" w:hAnsi="Times New Roman" w:cs="Times New Roman"/>
        </w:rPr>
        <w:t>Spangher</w:t>
      </w:r>
      <w:proofErr w:type="spellEnd"/>
      <w:r>
        <w:rPr>
          <w:rFonts w:ascii="Times New Roman" w:hAnsi="Times New Roman" w:cs="Times New Roman"/>
        </w:rPr>
        <w:t xml:space="preserve"> (a cura di), </w:t>
      </w:r>
      <w:r>
        <w:rPr>
          <w:rFonts w:ascii="Times New Roman" w:hAnsi="Times New Roman" w:cs="Times New Roman"/>
          <w:i/>
        </w:rPr>
        <w:t>La prova penale</w:t>
      </w:r>
      <w:r>
        <w:rPr>
          <w:rFonts w:ascii="Times New Roman" w:hAnsi="Times New Roman" w:cs="Times New Roman"/>
        </w:rPr>
        <w:t xml:space="preserve">, Torino, 2013, p. 745. </w:t>
      </w:r>
    </w:p>
    <w:p w:rsidR="000F29E3" w:rsidRPr="003A117F" w:rsidRDefault="000F29E3" w:rsidP="002C6FB6">
      <w:pPr>
        <w:pStyle w:val="Testonotaapidipagina"/>
        <w:jc w:val="both"/>
        <w:rPr>
          <w:rFonts w:ascii="Times New Roman" w:hAnsi="Times New Roman" w:cs="Times New Roman"/>
        </w:rPr>
      </w:pPr>
      <w:r>
        <w:rPr>
          <w:rFonts w:ascii="Times New Roman" w:hAnsi="Times New Roman" w:cs="Times New Roman"/>
        </w:rPr>
        <w:tab/>
        <w:t xml:space="preserve">Sicuramente è condivisibile ricomprendere tanto la prova illecita, quanto quella illegittima come foriere di inutilizzabilità, stante, appunto, il generico tenore dell'art. 191 </w:t>
      </w:r>
      <w:proofErr w:type="spellStart"/>
      <w:r>
        <w:rPr>
          <w:rFonts w:ascii="Times New Roman" w:hAnsi="Times New Roman" w:cs="Times New Roman"/>
        </w:rPr>
        <w:t>c.p.p</w:t>
      </w:r>
      <w:proofErr w:type="spellEnd"/>
      <w:r>
        <w:rPr>
          <w:rFonts w:ascii="Times New Roman" w:hAnsi="Times New Roman" w:cs="Times New Roman"/>
        </w:rPr>
        <w:t>..</w:t>
      </w:r>
    </w:p>
  </w:footnote>
  <w:footnote w:id="62">
    <w:p w:rsidR="000F29E3" w:rsidRPr="00E57C14" w:rsidRDefault="000F29E3" w:rsidP="00E57C14">
      <w:pPr>
        <w:pStyle w:val="Testonotaapidipagina"/>
        <w:jc w:val="both"/>
        <w:rPr>
          <w:rFonts w:ascii="Times New Roman" w:hAnsi="Times New Roman" w:cs="Times New Roman"/>
        </w:rPr>
      </w:pPr>
      <w:r>
        <w:rPr>
          <w:rFonts w:ascii="Times New Roman" w:hAnsi="Times New Roman" w:cs="Times New Roman"/>
        </w:rPr>
        <w:tab/>
      </w:r>
      <w:r w:rsidRPr="00E57C14">
        <w:rPr>
          <w:rStyle w:val="Rimandonotaapidipagina"/>
          <w:rFonts w:ascii="Times New Roman" w:hAnsi="Times New Roman" w:cs="Times New Roman"/>
        </w:rPr>
        <w:footnoteRef/>
      </w:r>
      <w:r w:rsidRPr="00E57C14">
        <w:rPr>
          <w:rFonts w:ascii="Times New Roman" w:hAnsi="Times New Roman" w:cs="Times New Roman"/>
        </w:rPr>
        <w:t xml:space="preserve"> </w:t>
      </w:r>
      <w:proofErr w:type="spellStart"/>
      <w:r>
        <w:rPr>
          <w:rFonts w:ascii="Times New Roman" w:hAnsi="Times New Roman" w:cs="Times New Roman"/>
          <w:i/>
        </w:rPr>
        <w:t>Amplius</w:t>
      </w:r>
      <w:proofErr w:type="spellEnd"/>
      <w:r>
        <w:rPr>
          <w:rFonts w:ascii="Times New Roman" w:hAnsi="Times New Roman" w:cs="Times New Roman"/>
        </w:rPr>
        <w:t xml:space="preserve">, A. Scalfati, </w:t>
      </w:r>
      <w:r>
        <w:rPr>
          <w:rFonts w:ascii="Times New Roman" w:hAnsi="Times New Roman" w:cs="Times New Roman"/>
          <w:i/>
        </w:rPr>
        <w:t>Note minime su cooperazione investigativa e mutuo riconoscimento</w:t>
      </w:r>
      <w:r>
        <w:rPr>
          <w:rFonts w:ascii="Times New Roman" w:hAnsi="Times New Roman" w:cs="Times New Roman"/>
        </w:rPr>
        <w:t xml:space="preserve">, in </w:t>
      </w:r>
      <w:r>
        <w:rPr>
          <w:rFonts w:ascii="Times New Roman" w:hAnsi="Times New Roman" w:cs="Times New Roman"/>
          <w:i/>
        </w:rPr>
        <w:t xml:space="preserve">Proc. </w:t>
      </w:r>
      <w:proofErr w:type="spellStart"/>
      <w:r>
        <w:rPr>
          <w:rFonts w:ascii="Times New Roman" w:hAnsi="Times New Roman" w:cs="Times New Roman"/>
          <w:i/>
        </w:rPr>
        <w:t>pen</w:t>
      </w:r>
      <w:proofErr w:type="spellEnd"/>
      <w:r>
        <w:rPr>
          <w:rFonts w:ascii="Times New Roman" w:hAnsi="Times New Roman" w:cs="Times New Roman"/>
          <w:i/>
        </w:rPr>
        <w:t xml:space="preserve">. </w:t>
      </w:r>
      <w:proofErr w:type="spellStart"/>
      <w:r>
        <w:rPr>
          <w:rFonts w:ascii="Times New Roman" w:hAnsi="Times New Roman" w:cs="Times New Roman"/>
          <w:i/>
        </w:rPr>
        <w:t>giust</w:t>
      </w:r>
      <w:proofErr w:type="spellEnd"/>
      <w:r>
        <w:rPr>
          <w:rFonts w:ascii="Times New Roman" w:hAnsi="Times New Roman" w:cs="Times New Roman"/>
          <w:i/>
        </w:rPr>
        <w:t>.</w:t>
      </w:r>
      <w:r>
        <w:rPr>
          <w:rFonts w:ascii="Times New Roman" w:hAnsi="Times New Roman" w:cs="Times New Roman"/>
        </w:rPr>
        <w:t xml:space="preserve">, 2017, p. 217. </w:t>
      </w:r>
    </w:p>
  </w:footnote>
  <w:footnote w:id="63">
    <w:p w:rsidR="000F29E3" w:rsidRPr="00151B3C" w:rsidRDefault="000F29E3" w:rsidP="00E57C14">
      <w:pPr>
        <w:pStyle w:val="Testonotaapidipagina"/>
        <w:ind w:firstLine="708"/>
        <w:jc w:val="both"/>
        <w:rPr>
          <w:rFonts w:ascii="Times New Roman" w:hAnsi="Times New Roman" w:cs="Times New Roman"/>
        </w:rPr>
      </w:pPr>
      <w:r w:rsidRPr="00151B3C">
        <w:rPr>
          <w:rStyle w:val="Rimandonotaapidipagina"/>
          <w:rFonts w:ascii="Times New Roman" w:hAnsi="Times New Roman" w:cs="Times New Roman"/>
        </w:rPr>
        <w:footnoteRef/>
      </w:r>
      <w:r>
        <w:rPr>
          <w:rFonts w:ascii="Times New Roman" w:hAnsi="Times New Roman" w:cs="Times New Roman"/>
        </w:rPr>
        <w:t xml:space="preserve"> Queste ed altre riflessioni, in M. Daniele, </w:t>
      </w:r>
      <w:r>
        <w:rPr>
          <w:rFonts w:ascii="Times New Roman" w:hAnsi="Times New Roman" w:cs="Times New Roman"/>
          <w:i/>
        </w:rPr>
        <w:t>L’impatto dell’ordine europeo d’indagine sulle regole probatorie nazionali</w:t>
      </w:r>
      <w:r>
        <w:rPr>
          <w:rFonts w:ascii="Times New Roman" w:hAnsi="Times New Roman" w:cs="Times New Roman"/>
        </w:rPr>
        <w:t xml:space="preserve">, in </w:t>
      </w:r>
      <w:r>
        <w:rPr>
          <w:rFonts w:ascii="Times New Roman" w:hAnsi="Times New Roman" w:cs="Times New Roman"/>
          <w:i/>
        </w:rPr>
        <w:t xml:space="preserve">Dir. </w:t>
      </w:r>
      <w:proofErr w:type="spellStart"/>
      <w:r>
        <w:rPr>
          <w:rFonts w:ascii="Times New Roman" w:hAnsi="Times New Roman" w:cs="Times New Roman"/>
          <w:i/>
        </w:rPr>
        <w:t>pen</w:t>
      </w:r>
      <w:proofErr w:type="spellEnd"/>
      <w:r>
        <w:rPr>
          <w:rFonts w:ascii="Times New Roman" w:hAnsi="Times New Roman" w:cs="Times New Roman"/>
          <w:i/>
        </w:rPr>
        <w:t xml:space="preserve">. </w:t>
      </w:r>
      <w:proofErr w:type="spellStart"/>
      <w:r>
        <w:rPr>
          <w:rFonts w:ascii="Times New Roman" w:hAnsi="Times New Roman" w:cs="Times New Roman"/>
          <w:i/>
        </w:rPr>
        <w:t>contemp</w:t>
      </w:r>
      <w:proofErr w:type="spellEnd"/>
      <w:r>
        <w:rPr>
          <w:rFonts w:ascii="Times New Roman" w:hAnsi="Times New Roman" w:cs="Times New Roman"/>
          <w:i/>
        </w:rPr>
        <w:t>.</w:t>
      </w:r>
      <w:r>
        <w:rPr>
          <w:rFonts w:ascii="Times New Roman" w:hAnsi="Times New Roman" w:cs="Times New Roman"/>
        </w:rPr>
        <w:t xml:space="preserve"> (rivista trimestrale), 2016, 3, p. 64.</w:t>
      </w:r>
      <w:r w:rsidRPr="00151B3C">
        <w:rPr>
          <w:rFonts w:ascii="Times New Roman" w:hAnsi="Times New Roman" w:cs="Times New Roman"/>
        </w:rPr>
        <w:t xml:space="preserve"> </w:t>
      </w:r>
    </w:p>
  </w:footnote>
  <w:footnote w:id="64">
    <w:p w:rsidR="000F29E3" w:rsidRPr="00FB621F" w:rsidRDefault="000F29E3" w:rsidP="00E57C14">
      <w:pPr>
        <w:pStyle w:val="Testonotaapidipagina"/>
        <w:ind w:firstLine="708"/>
        <w:jc w:val="both"/>
        <w:rPr>
          <w:rFonts w:ascii="Times New Roman" w:hAnsi="Times New Roman" w:cs="Times New Roman"/>
        </w:rPr>
      </w:pPr>
      <w:r w:rsidRPr="00FB621F">
        <w:rPr>
          <w:rStyle w:val="Rimandonotaapidipagina"/>
          <w:rFonts w:ascii="Times New Roman" w:hAnsi="Times New Roman" w:cs="Times New Roman"/>
        </w:rPr>
        <w:footnoteRef/>
      </w:r>
      <w:r w:rsidRPr="00FB621F">
        <w:rPr>
          <w:rFonts w:ascii="Times New Roman" w:hAnsi="Times New Roman" w:cs="Times New Roman"/>
        </w:rPr>
        <w:t xml:space="preserve"> </w:t>
      </w:r>
      <w:r>
        <w:rPr>
          <w:rFonts w:ascii="Times New Roman" w:hAnsi="Times New Roman" w:cs="Times New Roman"/>
        </w:rPr>
        <w:t xml:space="preserve">Così M. </w:t>
      </w:r>
      <w:proofErr w:type="spellStart"/>
      <w:r>
        <w:rPr>
          <w:rFonts w:ascii="Times New Roman" w:hAnsi="Times New Roman" w:cs="Times New Roman"/>
        </w:rPr>
        <w:t>Bontempelli</w:t>
      </w:r>
      <w:proofErr w:type="spellEnd"/>
      <w:r>
        <w:rPr>
          <w:rFonts w:ascii="Times New Roman" w:hAnsi="Times New Roman" w:cs="Times New Roman"/>
        </w:rPr>
        <w:t xml:space="preserve">, </w:t>
      </w:r>
      <w:r>
        <w:rPr>
          <w:rFonts w:ascii="Times New Roman" w:hAnsi="Times New Roman" w:cs="Times New Roman"/>
          <w:i/>
        </w:rPr>
        <w:t>Le garanzie processuali e il diritto dell’Unione europea, fra legge e giudice</w:t>
      </w:r>
      <w:r>
        <w:rPr>
          <w:rFonts w:ascii="Times New Roman" w:hAnsi="Times New Roman" w:cs="Times New Roman"/>
        </w:rPr>
        <w:t xml:space="preserve">, in </w:t>
      </w:r>
      <w:r>
        <w:rPr>
          <w:rFonts w:ascii="Times New Roman" w:hAnsi="Times New Roman" w:cs="Times New Roman"/>
          <w:i/>
        </w:rPr>
        <w:t xml:space="preserve">Proc. </w:t>
      </w:r>
      <w:proofErr w:type="spellStart"/>
      <w:r>
        <w:rPr>
          <w:rFonts w:ascii="Times New Roman" w:hAnsi="Times New Roman" w:cs="Times New Roman"/>
          <w:i/>
        </w:rPr>
        <w:t>pen</w:t>
      </w:r>
      <w:proofErr w:type="spellEnd"/>
      <w:r>
        <w:rPr>
          <w:rFonts w:ascii="Times New Roman" w:hAnsi="Times New Roman" w:cs="Times New Roman"/>
          <w:i/>
        </w:rPr>
        <w:t xml:space="preserve">. </w:t>
      </w:r>
      <w:proofErr w:type="spellStart"/>
      <w:r>
        <w:rPr>
          <w:rFonts w:ascii="Times New Roman" w:hAnsi="Times New Roman" w:cs="Times New Roman"/>
          <w:i/>
        </w:rPr>
        <w:t>giust</w:t>
      </w:r>
      <w:proofErr w:type="spellEnd"/>
      <w:r>
        <w:rPr>
          <w:rFonts w:ascii="Times New Roman" w:hAnsi="Times New Roman" w:cs="Times New Roman"/>
          <w:i/>
        </w:rPr>
        <w:t>.</w:t>
      </w:r>
      <w:r>
        <w:rPr>
          <w:rFonts w:ascii="Times New Roman" w:hAnsi="Times New Roman" w:cs="Times New Roman"/>
        </w:rPr>
        <w:t>, 2014, 3, p. 82.</w:t>
      </w:r>
    </w:p>
  </w:footnote>
  <w:footnote w:id="65">
    <w:p w:rsidR="000F29E3" w:rsidRPr="00855AE7" w:rsidRDefault="000F29E3" w:rsidP="002C21E8">
      <w:pPr>
        <w:pStyle w:val="Testonotaapidipagina"/>
        <w:jc w:val="both"/>
        <w:rPr>
          <w:rFonts w:ascii="Times New Roman" w:hAnsi="Times New Roman" w:cs="Times New Roman"/>
        </w:rPr>
      </w:pPr>
      <w:r>
        <w:rPr>
          <w:rFonts w:ascii="Times New Roman" w:hAnsi="Times New Roman" w:cs="Times New Roman"/>
        </w:rPr>
        <w:tab/>
      </w:r>
      <w:r w:rsidRPr="00855AE7">
        <w:rPr>
          <w:rStyle w:val="Rimandonotaapidipagina"/>
          <w:rFonts w:ascii="Times New Roman" w:hAnsi="Times New Roman" w:cs="Times New Roman"/>
        </w:rPr>
        <w:footnoteRef/>
      </w:r>
      <w:r w:rsidRPr="00855AE7">
        <w:rPr>
          <w:rFonts w:ascii="Times New Roman" w:hAnsi="Times New Roman" w:cs="Times New Roman"/>
        </w:rPr>
        <w:t xml:space="preserve"> </w:t>
      </w:r>
      <w:r>
        <w:rPr>
          <w:rFonts w:ascii="Times New Roman" w:hAnsi="Times New Roman" w:cs="Times New Roman"/>
        </w:rPr>
        <w:t xml:space="preserve">V. </w:t>
      </w:r>
      <w:proofErr w:type="spellStart"/>
      <w:r>
        <w:rPr>
          <w:rFonts w:ascii="Times New Roman" w:hAnsi="Times New Roman" w:cs="Times New Roman"/>
        </w:rPr>
        <w:t>Garofoli</w:t>
      </w:r>
      <w:proofErr w:type="spellEnd"/>
      <w:r>
        <w:rPr>
          <w:rFonts w:ascii="Times New Roman" w:hAnsi="Times New Roman" w:cs="Times New Roman"/>
        </w:rPr>
        <w:t xml:space="preserve">, </w:t>
      </w:r>
      <w:r>
        <w:rPr>
          <w:rFonts w:ascii="Times New Roman" w:hAnsi="Times New Roman" w:cs="Times New Roman"/>
          <w:i/>
        </w:rPr>
        <w:t>Diritto processuale penale</w:t>
      </w:r>
      <w:r>
        <w:rPr>
          <w:rFonts w:ascii="Times New Roman" w:hAnsi="Times New Roman" w:cs="Times New Roman"/>
        </w:rPr>
        <w:t xml:space="preserve">, Milano, 2012, p. 7. </w:t>
      </w:r>
    </w:p>
  </w:footnote>
  <w:footnote w:id="66">
    <w:p w:rsidR="000F29E3" w:rsidRPr="0093013E" w:rsidRDefault="000F29E3" w:rsidP="002C21E8">
      <w:pPr>
        <w:pStyle w:val="Testonotaapidipagina"/>
        <w:jc w:val="both"/>
        <w:rPr>
          <w:rFonts w:ascii="Times New Roman" w:hAnsi="Times New Roman" w:cs="Times New Roman"/>
        </w:rPr>
      </w:pPr>
      <w:r>
        <w:rPr>
          <w:rFonts w:ascii="Times New Roman" w:hAnsi="Times New Roman" w:cs="Times New Roman"/>
        </w:rPr>
        <w:tab/>
      </w:r>
      <w:r w:rsidRPr="0093013E">
        <w:rPr>
          <w:rStyle w:val="Rimandonotaapidipagina"/>
          <w:rFonts w:ascii="Times New Roman" w:hAnsi="Times New Roman" w:cs="Times New Roman"/>
        </w:rPr>
        <w:footnoteRef/>
      </w:r>
      <w:r w:rsidRPr="0093013E">
        <w:rPr>
          <w:rFonts w:ascii="Times New Roman" w:hAnsi="Times New Roman" w:cs="Times New Roman"/>
        </w:rPr>
        <w:t xml:space="preserve"> </w:t>
      </w:r>
      <w:r>
        <w:rPr>
          <w:rFonts w:ascii="Times New Roman" w:hAnsi="Times New Roman" w:cs="Times New Roman"/>
        </w:rPr>
        <w:t xml:space="preserve">Sul tema, per una bella comparazione, P.P. </w:t>
      </w:r>
      <w:proofErr w:type="spellStart"/>
      <w:r>
        <w:rPr>
          <w:rFonts w:ascii="Times New Roman" w:hAnsi="Times New Roman" w:cs="Times New Roman"/>
        </w:rPr>
        <w:t>Paulesu</w:t>
      </w:r>
      <w:proofErr w:type="spellEnd"/>
      <w:r>
        <w:rPr>
          <w:rFonts w:ascii="Times New Roman" w:hAnsi="Times New Roman" w:cs="Times New Roman"/>
        </w:rPr>
        <w:t xml:space="preserve">, </w:t>
      </w:r>
      <w:r>
        <w:rPr>
          <w:rFonts w:ascii="Times New Roman" w:hAnsi="Times New Roman" w:cs="Times New Roman"/>
          <w:i/>
        </w:rPr>
        <w:t>La presunzione di non colpevolezza dell'imputato</w:t>
      </w:r>
      <w:r>
        <w:rPr>
          <w:rFonts w:ascii="Times New Roman" w:hAnsi="Times New Roman" w:cs="Times New Roman"/>
        </w:rPr>
        <w:t xml:space="preserve">, </w:t>
      </w:r>
      <w:proofErr w:type="spellStart"/>
      <w:r>
        <w:rPr>
          <w:rFonts w:ascii="Times New Roman" w:hAnsi="Times New Roman" w:cs="Times New Roman"/>
        </w:rPr>
        <w:t>Giappichelli</w:t>
      </w:r>
      <w:proofErr w:type="spellEnd"/>
      <w:r>
        <w:rPr>
          <w:rFonts w:ascii="Times New Roman" w:hAnsi="Times New Roman" w:cs="Times New Roman"/>
        </w:rPr>
        <w:t xml:space="preserve">, 2009, p. 101, in particolare nota 269 che si riferisce al </w:t>
      </w:r>
      <w:proofErr w:type="spellStart"/>
      <w:r>
        <w:rPr>
          <w:rFonts w:ascii="Times New Roman" w:hAnsi="Times New Roman" w:cs="Times New Roman"/>
          <w:i/>
        </w:rPr>
        <w:t>Military</w:t>
      </w:r>
      <w:proofErr w:type="spellEnd"/>
      <w:r>
        <w:rPr>
          <w:rFonts w:ascii="Times New Roman" w:hAnsi="Times New Roman" w:cs="Times New Roman"/>
          <w:i/>
        </w:rPr>
        <w:t xml:space="preserve"> </w:t>
      </w:r>
      <w:proofErr w:type="spellStart"/>
      <w:r>
        <w:rPr>
          <w:rFonts w:ascii="Times New Roman" w:hAnsi="Times New Roman" w:cs="Times New Roman"/>
          <w:i/>
        </w:rPr>
        <w:t>Commission</w:t>
      </w:r>
      <w:proofErr w:type="spellEnd"/>
      <w:r>
        <w:rPr>
          <w:rFonts w:ascii="Times New Roman" w:hAnsi="Times New Roman" w:cs="Times New Roman"/>
          <w:i/>
        </w:rPr>
        <w:t xml:space="preserve"> </w:t>
      </w:r>
      <w:proofErr w:type="spellStart"/>
      <w:r>
        <w:rPr>
          <w:rFonts w:ascii="Times New Roman" w:hAnsi="Times New Roman" w:cs="Times New Roman"/>
          <w:i/>
        </w:rPr>
        <w:t>Order</w:t>
      </w:r>
      <w:proofErr w:type="spellEnd"/>
      <w:r>
        <w:rPr>
          <w:rFonts w:ascii="Times New Roman" w:hAnsi="Times New Roman" w:cs="Times New Roman"/>
          <w:i/>
        </w:rPr>
        <w:t xml:space="preserve">, I, </w:t>
      </w:r>
      <w:proofErr w:type="spellStart"/>
      <w:r>
        <w:rPr>
          <w:rFonts w:ascii="Times New Roman" w:hAnsi="Times New Roman" w:cs="Times New Roman"/>
          <w:i/>
        </w:rPr>
        <w:t>article</w:t>
      </w:r>
      <w:proofErr w:type="spellEnd"/>
      <w:r>
        <w:rPr>
          <w:rFonts w:ascii="Times New Roman" w:hAnsi="Times New Roman" w:cs="Times New Roman"/>
          <w:i/>
        </w:rPr>
        <w:t xml:space="preserve"> 5, </w:t>
      </w:r>
      <w:proofErr w:type="spellStart"/>
      <w:r>
        <w:rPr>
          <w:rFonts w:ascii="Times New Roman" w:hAnsi="Times New Roman" w:cs="Times New Roman"/>
          <w:i/>
        </w:rPr>
        <w:t>sections</w:t>
      </w:r>
      <w:proofErr w:type="spellEnd"/>
      <w:r>
        <w:rPr>
          <w:rFonts w:ascii="Times New Roman" w:hAnsi="Times New Roman" w:cs="Times New Roman"/>
          <w:i/>
        </w:rPr>
        <w:t xml:space="preserve"> </w:t>
      </w:r>
      <w:proofErr w:type="spellStart"/>
      <w:r>
        <w:rPr>
          <w:rFonts w:ascii="Times New Roman" w:hAnsi="Times New Roman" w:cs="Times New Roman"/>
          <w:i/>
        </w:rPr>
        <w:t>B-G</w:t>
      </w:r>
      <w:proofErr w:type="spellEnd"/>
      <w:r>
        <w:rPr>
          <w:rFonts w:ascii="Times New Roman" w:hAnsi="Times New Roman" w:cs="Times New Roman"/>
          <w:i/>
        </w:rPr>
        <w:t>.</w:t>
      </w:r>
    </w:p>
  </w:footnote>
  <w:footnote w:id="67">
    <w:p w:rsidR="000F29E3" w:rsidRPr="002739C3" w:rsidRDefault="000F29E3" w:rsidP="002C21E8">
      <w:pPr>
        <w:pStyle w:val="Testonotaapidipagina"/>
        <w:ind w:firstLine="708"/>
        <w:jc w:val="both"/>
        <w:rPr>
          <w:rFonts w:ascii="Times New Roman" w:hAnsi="Times New Roman" w:cs="Times New Roman"/>
        </w:rPr>
      </w:pPr>
      <w:r w:rsidRPr="002739C3">
        <w:rPr>
          <w:rStyle w:val="Rimandonotaapidipagina"/>
          <w:rFonts w:ascii="Times New Roman" w:hAnsi="Times New Roman" w:cs="Times New Roman"/>
        </w:rPr>
        <w:footnoteRef/>
      </w:r>
      <w:r w:rsidRPr="002739C3">
        <w:rPr>
          <w:rFonts w:ascii="Times New Roman" w:hAnsi="Times New Roman" w:cs="Times New Roman"/>
        </w:rPr>
        <w:t xml:space="preserve"> </w:t>
      </w:r>
      <w:r>
        <w:rPr>
          <w:rFonts w:ascii="Times New Roman" w:hAnsi="Times New Roman" w:cs="Times New Roman"/>
        </w:rPr>
        <w:t>E non può che essere così, in un lavoro in tema di diritti: il rinvio pregiudiziale, infatti, è «</w:t>
      </w:r>
      <w:r w:rsidRPr="00607859">
        <w:rPr>
          <w:rFonts w:ascii="Times New Roman" w:hAnsi="Times New Roman" w:cs="Times New Roman"/>
        </w:rPr>
        <w:t>il più efficace e diffuso strumento di tutela dei diritti vantati dal singolo nei confronti sia delle istituzioni comunitarie che degli Stati membri»</w:t>
      </w:r>
      <w:r>
        <w:rPr>
          <w:rFonts w:ascii="Times New Roman" w:hAnsi="Times New Roman" w:cs="Times New Roman"/>
        </w:rPr>
        <w:t xml:space="preserve">: così, A. </w:t>
      </w:r>
      <w:proofErr w:type="spellStart"/>
      <w:r>
        <w:rPr>
          <w:rFonts w:ascii="Times New Roman" w:hAnsi="Times New Roman" w:cs="Times New Roman"/>
        </w:rPr>
        <w:t>Tizzano</w:t>
      </w:r>
      <w:proofErr w:type="spellEnd"/>
      <w:r>
        <w:rPr>
          <w:rFonts w:ascii="Times New Roman" w:hAnsi="Times New Roman" w:cs="Times New Roman"/>
        </w:rPr>
        <w:t xml:space="preserve">, S. Fortunato, </w:t>
      </w:r>
      <w:r>
        <w:rPr>
          <w:rFonts w:ascii="Times New Roman" w:hAnsi="Times New Roman" w:cs="Times New Roman"/>
          <w:i/>
        </w:rPr>
        <w:t>La tutela dei diritti</w:t>
      </w:r>
      <w:r>
        <w:rPr>
          <w:rFonts w:ascii="Times New Roman" w:hAnsi="Times New Roman" w:cs="Times New Roman"/>
        </w:rPr>
        <w:t xml:space="preserve">, in A. </w:t>
      </w:r>
      <w:proofErr w:type="spellStart"/>
      <w:r>
        <w:rPr>
          <w:rFonts w:ascii="Times New Roman" w:hAnsi="Times New Roman" w:cs="Times New Roman"/>
        </w:rPr>
        <w:t>Tizzano</w:t>
      </w:r>
      <w:proofErr w:type="spellEnd"/>
      <w:r>
        <w:rPr>
          <w:rFonts w:ascii="Times New Roman" w:hAnsi="Times New Roman" w:cs="Times New Roman"/>
        </w:rPr>
        <w:t xml:space="preserve"> (a cura di), </w:t>
      </w:r>
      <w:r>
        <w:rPr>
          <w:rFonts w:ascii="Times New Roman" w:hAnsi="Times New Roman" w:cs="Times New Roman"/>
          <w:i/>
        </w:rPr>
        <w:t>Il diritto privato dell'Unione europea</w:t>
      </w:r>
      <w:r>
        <w:rPr>
          <w:rFonts w:ascii="Times New Roman" w:hAnsi="Times New Roman" w:cs="Times New Roman"/>
        </w:rPr>
        <w:t>, Milano, 2000, vol. II, p. 1291.</w:t>
      </w:r>
    </w:p>
  </w:footnote>
  <w:footnote w:id="68">
    <w:p w:rsidR="000F29E3" w:rsidRPr="002739C3" w:rsidRDefault="000F29E3" w:rsidP="002C21E8">
      <w:pPr>
        <w:pStyle w:val="Testonotaapidipagina"/>
        <w:ind w:firstLine="708"/>
        <w:jc w:val="both"/>
        <w:rPr>
          <w:rFonts w:ascii="Times New Roman" w:hAnsi="Times New Roman" w:cs="Times New Roman"/>
        </w:rPr>
      </w:pPr>
      <w:r w:rsidRPr="002739C3">
        <w:rPr>
          <w:rStyle w:val="Rimandonotaapidipagina"/>
          <w:rFonts w:ascii="Times New Roman" w:hAnsi="Times New Roman" w:cs="Times New Roman"/>
        </w:rPr>
        <w:footnoteRef/>
      </w:r>
      <w:r w:rsidRPr="002739C3">
        <w:rPr>
          <w:rFonts w:ascii="Times New Roman" w:hAnsi="Times New Roman" w:cs="Times New Roman"/>
        </w:rPr>
        <w:t xml:space="preserve"> </w:t>
      </w:r>
      <w:r>
        <w:rPr>
          <w:rFonts w:ascii="Times New Roman" w:hAnsi="Times New Roman" w:cs="Times New Roman"/>
        </w:rPr>
        <w:t xml:space="preserve">Così pure M. </w:t>
      </w:r>
      <w:proofErr w:type="spellStart"/>
      <w:r>
        <w:rPr>
          <w:rFonts w:ascii="Times New Roman" w:hAnsi="Times New Roman" w:cs="Times New Roman"/>
        </w:rPr>
        <w:t>Condinanzi</w:t>
      </w:r>
      <w:proofErr w:type="spellEnd"/>
      <w:r>
        <w:rPr>
          <w:rFonts w:ascii="Times New Roman" w:hAnsi="Times New Roman" w:cs="Times New Roman"/>
        </w:rPr>
        <w:t xml:space="preserve">, </w:t>
      </w:r>
      <w:r>
        <w:rPr>
          <w:rFonts w:ascii="Times New Roman" w:hAnsi="Times New Roman" w:cs="Times New Roman"/>
          <w:i/>
        </w:rPr>
        <w:t>I giudici italiani «avverso le cui decisioni non possa porsi un ricorso giurisdizionale di diritto interno» e il rinvio pregiudiziale</w:t>
      </w:r>
      <w:r>
        <w:rPr>
          <w:rFonts w:ascii="Times New Roman" w:hAnsi="Times New Roman" w:cs="Times New Roman"/>
        </w:rPr>
        <w:t xml:space="preserve">, in </w:t>
      </w:r>
      <w:r>
        <w:rPr>
          <w:rFonts w:ascii="Times New Roman" w:hAnsi="Times New Roman" w:cs="Times New Roman"/>
          <w:i/>
        </w:rPr>
        <w:t xml:space="preserve">Dir. Un. </w:t>
      </w:r>
      <w:proofErr w:type="spellStart"/>
      <w:r>
        <w:rPr>
          <w:rFonts w:ascii="Times New Roman" w:hAnsi="Times New Roman" w:cs="Times New Roman"/>
          <w:i/>
        </w:rPr>
        <w:t>eur</w:t>
      </w:r>
      <w:proofErr w:type="spellEnd"/>
      <w:r>
        <w:rPr>
          <w:rFonts w:ascii="Times New Roman" w:hAnsi="Times New Roman" w:cs="Times New Roman"/>
          <w:i/>
        </w:rPr>
        <w:t>.</w:t>
      </w:r>
      <w:r>
        <w:rPr>
          <w:rFonts w:ascii="Times New Roman" w:hAnsi="Times New Roman" w:cs="Times New Roman"/>
        </w:rPr>
        <w:t>, 2010, p. 295 ss., per il quale esegesi contrarie dell'art. 267 TFUE ‒ un tempo artt. 68 e 234 TCE ‒ sono «</w:t>
      </w:r>
      <w:r w:rsidRPr="00607859">
        <w:rPr>
          <w:rFonts w:ascii="Times New Roman" w:hAnsi="Times New Roman" w:cs="Times New Roman"/>
        </w:rPr>
        <w:t xml:space="preserve">fortemente </w:t>
      </w:r>
      <w:proofErr w:type="spellStart"/>
      <w:r w:rsidRPr="00607859">
        <w:rPr>
          <w:rFonts w:ascii="Times New Roman" w:hAnsi="Times New Roman" w:cs="Times New Roman"/>
        </w:rPr>
        <w:t>pregiudizievol</w:t>
      </w:r>
      <w:proofErr w:type="spellEnd"/>
      <w:r w:rsidRPr="00607859">
        <w:rPr>
          <w:rFonts w:ascii="Times New Roman" w:hAnsi="Times New Roman" w:cs="Times New Roman"/>
        </w:rPr>
        <w:t>[i] non solo per l'interesse oggettivo ad una corretta e uniforme interpretazione del diritto dell'Unione ..., ma anche, e soprattutto, per il diritto ad un ricorso effettivo da parte del singolo</w:t>
      </w:r>
      <w:r>
        <w:rPr>
          <w:rFonts w:ascii="Times New Roman" w:hAnsi="Times New Roman" w:cs="Times New Roman"/>
        </w:rPr>
        <w:t>» (p. 304).</w:t>
      </w:r>
    </w:p>
  </w:footnote>
  <w:footnote w:id="69">
    <w:p w:rsidR="000F29E3" w:rsidRPr="00A30EB3" w:rsidRDefault="000F29E3" w:rsidP="002C21E8">
      <w:pPr>
        <w:pStyle w:val="Testonotaapidipagina"/>
        <w:ind w:firstLine="708"/>
        <w:jc w:val="both"/>
        <w:rPr>
          <w:rFonts w:ascii="Times New Roman" w:hAnsi="Times New Roman" w:cs="Times New Roman"/>
        </w:rPr>
      </w:pPr>
      <w:r w:rsidRPr="00A30EB3">
        <w:rPr>
          <w:rStyle w:val="Rimandonotaapidipagina"/>
          <w:rFonts w:ascii="Times New Roman" w:hAnsi="Times New Roman" w:cs="Times New Roman"/>
        </w:rPr>
        <w:footnoteRef/>
      </w:r>
      <w:r w:rsidRPr="00A30EB3">
        <w:rPr>
          <w:rFonts w:ascii="Times New Roman" w:hAnsi="Times New Roman" w:cs="Times New Roman"/>
        </w:rPr>
        <w:t xml:space="preserve"> </w:t>
      </w:r>
      <w:r>
        <w:rPr>
          <w:rFonts w:ascii="Times New Roman" w:hAnsi="Times New Roman" w:cs="Times New Roman"/>
        </w:rPr>
        <w:t xml:space="preserve">C. </w:t>
      </w:r>
      <w:proofErr w:type="spellStart"/>
      <w:r>
        <w:rPr>
          <w:rFonts w:ascii="Times New Roman" w:hAnsi="Times New Roman" w:cs="Times New Roman"/>
        </w:rPr>
        <w:t>giust</w:t>
      </w:r>
      <w:proofErr w:type="spellEnd"/>
      <w:r>
        <w:rPr>
          <w:rFonts w:ascii="Times New Roman" w:hAnsi="Times New Roman" w:cs="Times New Roman"/>
        </w:rPr>
        <w:t xml:space="preserve">. CE, 16 giugno 2005, in causa C-105/03, </w:t>
      </w:r>
      <w:proofErr w:type="spellStart"/>
      <w:r>
        <w:rPr>
          <w:rFonts w:ascii="Times New Roman" w:hAnsi="Times New Roman" w:cs="Times New Roman"/>
          <w:i/>
        </w:rPr>
        <w:t>Pupino</w:t>
      </w:r>
      <w:proofErr w:type="spellEnd"/>
      <w:r>
        <w:rPr>
          <w:rFonts w:ascii="Times New Roman" w:hAnsi="Times New Roman" w:cs="Times New Roman"/>
        </w:rPr>
        <w:t xml:space="preserve">. L’adagio veniva ripreso, a livello interno, da Cass., sez. </w:t>
      </w:r>
      <w:proofErr w:type="spellStart"/>
      <w:r>
        <w:rPr>
          <w:rFonts w:ascii="Times New Roman" w:hAnsi="Times New Roman" w:cs="Times New Roman"/>
        </w:rPr>
        <w:t>VI</w:t>
      </w:r>
      <w:proofErr w:type="spellEnd"/>
      <w:r>
        <w:rPr>
          <w:rFonts w:ascii="Times New Roman" w:hAnsi="Times New Roman" w:cs="Times New Roman"/>
        </w:rPr>
        <w:t xml:space="preserve">, 8 maggio 2006, n. 16542, in </w:t>
      </w:r>
      <w:proofErr w:type="spellStart"/>
      <w:r>
        <w:rPr>
          <w:rFonts w:ascii="Times New Roman" w:hAnsi="Times New Roman" w:cs="Times New Roman"/>
          <w:i/>
        </w:rPr>
        <w:t>Dejure</w:t>
      </w:r>
      <w:proofErr w:type="spellEnd"/>
      <w:r>
        <w:rPr>
          <w:rFonts w:ascii="Times New Roman" w:hAnsi="Times New Roman" w:cs="Times New Roman"/>
        </w:rPr>
        <w:t xml:space="preserve">. Su questa pronuncia, C. Amalfitano, </w:t>
      </w:r>
      <w:r>
        <w:rPr>
          <w:rFonts w:ascii="Times New Roman" w:hAnsi="Times New Roman" w:cs="Times New Roman"/>
          <w:i/>
        </w:rPr>
        <w:t>Mandato d'arresto europeo, Corte di cassazione e tutela dei diritti fondamentali dell'individuo</w:t>
      </w:r>
      <w:r>
        <w:rPr>
          <w:rFonts w:ascii="Times New Roman" w:hAnsi="Times New Roman" w:cs="Times New Roman"/>
        </w:rPr>
        <w:t xml:space="preserve">, in </w:t>
      </w:r>
      <w:proofErr w:type="spellStart"/>
      <w:r>
        <w:rPr>
          <w:rFonts w:ascii="Times New Roman" w:hAnsi="Times New Roman" w:cs="Times New Roman"/>
          <w:i/>
        </w:rPr>
        <w:t>Riv</w:t>
      </w:r>
      <w:proofErr w:type="spellEnd"/>
      <w:r>
        <w:rPr>
          <w:rFonts w:ascii="Times New Roman" w:hAnsi="Times New Roman" w:cs="Times New Roman"/>
          <w:i/>
        </w:rPr>
        <w:t>. dir. int. priv. proc.</w:t>
      </w:r>
      <w:r>
        <w:rPr>
          <w:rFonts w:ascii="Times New Roman" w:hAnsi="Times New Roman" w:cs="Times New Roman"/>
        </w:rPr>
        <w:t>, 2007, p. 85 ss..</w:t>
      </w:r>
    </w:p>
  </w:footnote>
  <w:footnote w:id="70">
    <w:p w:rsidR="000F29E3" w:rsidRPr="005C1B39" w:rsidRDefault="000F29E3" w:rsidP="005C1B39">
      <w:pPr>
        <w:pStyle w:val="Testonotaapidipagina"/>
        <w:jc w:val="both"/>
        <w:rPr>
          <w:rFonts w:ascii="Times New Roman" w:hAnsi="Times New Roman" w:cs="Times New Roman"/>
        </w:rPr>
      </w:pPr>
      <w:r>
        <w:rPr>
          <w:rFonts w:ascii="Times New Roman" w:hAnsi="Times New Roman" w:cs="Times New Roman"/>
        </w:rPr>
        <w:tab/>
      </w:r>
      <w:r w:rsidRPr="005C1B39">
        <w:rPr>
          <w:rStyle w:val="Rimandonotaapidipagina"/>
          <w:rFonts w:ascii="Times New Roman" w:hAnsi="Times New Roman" w:cs="Times New Roman"/>
        </w:rPr>
        <w:footnoteRef/>
      </w:r>
      <w:r w:rsidRPr="005C1B39">
        <w:rPr>
          <w:rFonts w:ascii="Times New Roman" w:hAnsi="Times New Roman" w:cs="Times New Roman"/>
        </w:rPr>
        <w:t xml:space="preserve"> </w:t>
      </w:r>
      <w:r>
        <w:rPr>
          <w:rFonts w:ascii="Times New Roman" w:hAnsi="Times New Roman" w:cs="Times New Roman"/>
        </w:rPr>
        <w:t xml:space="preserve">Così, C. </w:t>
      </w:r>
      <w:proofErr w:type="spellStart"/>
      <w:r>
        <w:rPr>
          <w:rFonts w:ascii="Times New Roman" w:hAnsi="Times New Roman" w:cs="Times New Roman"/>
        </w:rPr>
        <w:t>Valentini</w:t>
      </w:r>
      <w:proofErr w:type="spellEnd"/>
      <w:r>
        <w:rPr>
          <w:rFonts w:ascii="Times New Roman" w:hAnsi="Times New Roman" w:cs="Times New Roman"/>
        </w:rPr>
        <w:t xml:space="preserve">, </w:t>
      </w:r>
      <w:r>
        <w:rPr>
          <w:rFonts w:ascii="Times New Roman" w:hAnsi="Times New Roman" w:cs="Times New Roman"/>
          <w:i/>
        </w:rPr>
        <w:t xml:space="preserve">La presunzione di innocenza nella direttiva 2016/343/UE: </w:t>
      </w:r>
      <w:r>
        <w:rPr>
          <w:rFonts w:ascii="Times New Roman" w:hAnsi="Times New Roman" w:cs="Times New Roman"/>
        </w:rPr>
        <w:t xml:space="preserve">per </w:t>
      </w:r>
      <w:proofErr w:type="spellStart"/>
      <w:r>
        <w:rPr>
          <w:rFonts w:ascii="Times New Roman" w:hAnsi="Times New Roman" w:cs="Times New Roman"/>
        </w:rPr>
        <w:t>aspera</w:t>
      </w:r>
      <w:proofErr w:type="spellEnd"/>
      <w:r>
        <w:rPr>
          <w:rFonts w:ascii="Times New Roman" w:hAnsi="Times New Roman" w:cs="Times New Roman"/>
        </w:rPr>
        <w:t xml:space="preserve"> ad </w:t>
      </w:r>
      <w:proofErr w:type="spellStart"/>
      <w:r>
        <w:rPr>
          <w:rFonts w:ascii="Times New Roman" w:hAnsi="Times New Roman" w:cs="Times New Roman"/>
        </w:rPr>
        <w:t>astra</w:t>
      </w:r>
      <w:proofErr w:type="spellEnd"/>
      <w:r>
        <w:rPr>
          <w:rFonts w:ascii="Times New Roman" w:hAnsi="Times New Roman" w:cs="Times New Roman"/>
        </w:rPr>
        <w:t xml:space="preserve">, in </w:t>
      </w:r>
      <w:r>
        <w:rPr>
          <w:rFonts w:ascii="Times New Roman" w:hAnsi="Times New Roman" w:cs="Times New Roman"/>
          <w:i/>
        </w:rPr>
        <w:t xml:space="preserve">Proc. </w:t>
      </w:r>
      <w:proofErr w:type="spellStart"/>
      <w:r>
        <w:rPr>
          <w:rFonts w:ascii="Times New Roman" w:hAnsi="Times New Roman" w:cs="Times New Roman"/>
          <w:i/>
        </w:rPr>
        <w:t>pen</w:t>
      </w:r>
      <w:proofErr w:type="spellEnd"/>
      <w:r>
        <w:rPr>
          <w:rFonts w:ascii="Times New Roman" w:hAnsi="Times New Roman" w:cs="Times New Roman"/>
          <w:i/>
        </w:rPr>
        <w:t xml:space="preserve">. </w:t>
      </w:r>
      <w:proofErr w:type="spellStart"/>
      <w:r>
        <w:rPr>
          <w:rFonts w:ascii="Times New Roman" w:hAnsi="Times New Roman" w:cs="Times New Roman"/>
          <w:i/>
        </w:rPr>
        <w:t>giust</w:t>
      </w:r>
      <w:proofErr w:type="spellEnd"/>
      <w:r>
        <w:rPr>
          <w:rFonts w:ascii="Times New Roman" w:hAnsi="Times New Roman" w:cs="Times New Roman"/>
          <w:i/>
        </w:rPr>
        <w:t>.</w:t>
      </w:r>
      <w:r>
        <w:rPr>
          <w:rFonts w:ascii="Times New Roman" w:hAnsi="Times New Roman" w:cs="Times New Roman"/>
        </w:rPr>
        <w:t>, 2016, 6, p. 200.</w:t>
      </w:r>
    </w:p>
  </w:footnote>
  <w:footnote w:id="71">
    <w:p w:rsidR="000F29E3" w:rsidRPr="000B5BA0" w:rsidRDefault="000F29E3" w:rsidP="000B5BA0">
      <w:pPr>
        <w:pStyle w:val="Testonotaapidipagina"/>
        <w:jc w:val="both"/>
        <w:rPr>
          <w:rFonts w:ascii="Times New Roman" w:hAnsi="Times New Roman" w:cs="Times New Roman"/>
        </w:rPr>
      </w:pPr>
      <w:r>
        <w:rPr>
          <w:rFonts w:ascii="Times New Roman" w:hAnsi="Times New Roman" w:cs="Times New Roman"/>
        </w:rPr>
        <w:tab/>
      </w:r>
      <w:r w:rsidRPr="000B5BA0">
        <w:rPr>
          <w:rStyle w:val="Rimandonotaapidipagina"/>
          <w:rFonts w:ascii="Times New Roman" w:hAnsi="Times New Roman" w:cs="Times New Roman"/>
        </w:rPr>
        <w:footnoteRef/>
      </w:r>
      <w:r w:rsidRPr="000B5BA0">
        <w:rPr>
          <w:rFonts w:ascii="Times New Roman" w:hAnsi="Times New Roman" w:cs="Times New Roman"/>
        </w:rPr>
        <w:t xml:space="preserve"> </w:t>
      </w:r>
      <w:r>
        <w:rPr>
          <w:rFonts w:ascii="Times New Roman" w:hAnsi="Times New Roman" w:cs="Times New Roman"/>
        </w:rPr>
        <w:t xml:space="preserve">G. </w:t>
      </w:r>
      <w:proofErr w:type="spellStart"/>
      <w:r>
        <w:rPr>
          <w:rFonts w:ascii="Times New Roman" w:hAnsi="Times New Roman" w:cs="Times New Roman"/>
        </w:rPr>
        <w:t>Ziccardi</w:t>
      </w:r>
      <w:proofErr w:type="spellEnd"/>
      <w:r>
        <w:rPr>
          <w:rFonts w:ascii="Times New Roman" w:hAnsi="Times New Roman" w:cs="Times New Roman"/>
        </w:rPr>
        <w:t xml:space="preserve"> </w:t>
      </w:r>
      <w:proofErr w:type="spellStart"/>
      <w:r>
        <w:rPr>
          <w:rFonts w:ascii="Times New Roman" w:hAnsi="Times New Roman" w:cs="Times New Roman"/>
        </w:rPr>
        <w:t>Capaldo</w:t>
      </w:r>
      <w:proofErr w:type="spellEnd"/>
      <w:r>
        <w:rPr>
          <w:rFonts w:ascii="Times New Roman" w:hAnsi="Times New Roman" w:cs="Times New Roman"/>
        </w:rPr>
        <w:t xml:space="preserve">, </w:t>
      </w:r>
      <w:r>
        <w:rPr>
          <w:rFonts w:ascii="Times New Roman" w:hAnsi="Times New Roman" w:cs="Times New Roman"/>
          <w:i/>
        </w:rPr>
        <w:t>Diritto globale. Il nuovo diritto internazionale</w:t>
      </w:r>
      <w:r>
        <w:rPr>
          <w:rFonts w:ascii="Times New Roman" w:hAnsi="Times New Roman" w:cs="Times New Roman"/>
        </w:rPr>
        <w:t>, Milano, 2010, p. 302.</w:t>
      </w:r>
    </w:p>
  </w:footnote>
  <w:footnote w:id="72">
    <w:p w:rsidR="000F29E3" w:rsidRPr="000B5BA0" w:rsidRDefault="000F29E3" w:rsidP="000B5BA0">
      <w:pPr>
        <w:pStyle w:val="Testonotaapidipagina"/>
        <w:jc w:val="both"/>
        <w:rPr>
          <w:rFonts w:ascii="Times New Roman" w:hAnsi="Times New Roman" w:cs="Times New Roman"/>
        </w:rPr>
      </w:pPr>
      <w:r>
        <w:rPr>
          <w:rFonts w:ascii="Times New Roman" w:hAnsi="Times New Roman" w:cs="Times New Roman"/>
        </w:rPr>
        <w:tab/>
      </w:r>
      <w:r w:rsidRPr="000B5BA0">
        <w:rPr>
          <w:rStyle w:val="Rimandonotaapidipagina"/>
          <w:rFonts w:ascii="Times New Roman" w:hAnsi="Times New Roman" w:cs="Times New Roman"/>
        </w:rPr>
        <w:footnoteRef/>
      </w:r>
      <w:r w:rsidRPr="000B5BA0">
        <w:rPr>
          <w:rFonts w:ascii="Times New Roman" w:hAnsi="Times New Roman" w:cs="Times New Roman"/>
        </w:rPr>
        <w:t xml:space="preserve"> </w:t>
      </w:r>
      <w:r>
        <w:rPr>
          <w:rFonts w:ascii="Times New Roman" w:hAnsi="Times New Roman" w:cs="Times New Roman"/>
        </w:rPr>
        <w:t xml:space="preserve">G. </w:t>
      </w:r>
      <w:proofErr w:type="spellStart"/>
      <w:r>
        <w:rPr>
          <w:rFonts w:ascii="Times New Roman" w:hAnsi="Times New Roman" w:cs="Times New Roman"/>
        </w:rPr>
        <w:t>Ziccardi</w:t>
      </w:r>
      <w:proofErr w:type="spellEnd"/>
      <w:r>
        <w:rPr>
          <w:rFonts w:ascii="Times New Roman" w:hAnsi="Times New Roman" w:cs="Times New Roman"/>
        </w:rPr>
        <w:t xml:space="preserve"> </w:t>
      </w:r>
      <w:proofErr w:type="spellStart"/>
      <w:r>
        <w:rPr>
          <w:rFonts w:ascii="Times New Roman" w:hAnsi="Times New Roman" w:cs="Times New Roman"/>
        </w:rPr>
        <w:t>Capaldo</w:t>
      </w:r>
      <w:proofErr w:type="spellEnd"/>
      <w:r>
        <w:rPr>
          <w:rFonts w:ascii="Times New Roman" w:hAnsi="Times New Roman" w:cs="Times New Roman"/>
        </w:rPr>
        <w:t xml:space="preserve">, </w:t>
      </w:r>
      <w:r>
        <w:rPr>
          <w:rFonts w:ascii="Times New Roman" w:hAnsi="Times New Roman" w:cs="Times New Roman"/>
          <w:i/>
        </w:rPr>
        <w:t>Diritto globale</w:t>
      </w:r>
      <w:r>
        <w:rPr>
          <w:rFonts w:ascii="Times New Roman" w:hAnsi="Times New Roman" w:cs="Times New Roman"/>
        </w:rPr>
        <w:t>, cit., p. XXIII.</w:t>
      </w:r>
    </w:p>
  </w:footnote>
  <w:footnote w:id="73">
    <w:p w:rsidR="000F29E3" w:rsidRPr="00D178A4" w:rsidRDefault="000F29E3" w:rsidP="00D178A4">
      <w:pPr>
        <w:pStyle w:val="Testonotaapidipagina"/>
        <w:jc w:val="both"/>
        <w:rPr>
          <w:rFonts w:ascii="Times New Roman" w:hAnsi="Times New Roman" w:cs="Times New Roman"/>
        </w:rPr>
      </w:pPr>
      <w:r>
        <w:rPr>
          <w:rFonts w:ascii="Times New Roman" w:hAnsi="Times New Roman" w:cs="Times New Roman"/>
        </w:rPr>
        <w:tab/>
      </w:r>
      <w:r w:rsidRPr="00D178A4">
        <w:rPr>
          <w:rStyle w:val="Rimandonotaapidipagina"/>
          <w:rFonts w:ascii="Times New Roman" w:hAnsi="Times New Roman" w:cs="Times New Roman"/>
        </w:rPr>
        <w:footnoteRef/>
      </w:r>
      <w:r w:rsidRPr="00D178A4">
        <w:rPr>
          <w:rFonts w:ascii="Times New Roman" w:hAnsi="Times New Roman" w:cs="Times New Roman"/>
        </w:rPr>
        <w:t xml:space="preserve"> </w:t>
      </w:r>
      <w:r>
        <w:rPr>
          <w:rFonts w:ascii="Times New Roman" w:hAnsi="Times New Roman" w:cs="Times New Roman"/>
        </w:rPr>
        <w:t xml:space="preserve">Bella questa definizione dell'ordine pubblico internazionale, coniata con riferimento alla Francia ma applicabile, </w:t>
      </w:r>
      <w:proofErr w:type="spellStart"/>
      <w:r>
        <w:rPr>
          <w:rFonts w:ascii="Times New Roman" w:hAnsi="Times New Roman" w:cs="Times New Roman"/>
          <w:i/>
        </w:rPr>
        <w:t>mutatis</w:t>
      </w:r>
      <w:proofErr w:type="spellEnd"/>
      <w:r>
        <w:rPr>
          <w:rFonts w:ascii="Times New Roman" w:hAnsi="Times New Roman" w:cs="Times New Roman"/>
          <w:i/>
        </w:rPr>
        <w:t xml:space="preserve"> </w:t>
      </w:r>
      <w:proofErr w:type="spellStart"/>
      <w:r>
        <w:rPr>
          <w:rFonts w:ascii="Times New Roman" w:hAnsi="Times New Roman" w:cs="Times New Roman"/>
          <w:i/>
        </w:rPr>
        <w:t>mutandis</w:t>
      </w:r>
      <w:proofErr w:type="spellEnd"/>
      <w:r>
        <w:rPr>
          <w:rFonts w:ascii="Times New Roman" w:hAnsi="Times New Roman" w:cs="Times New Roman"/>
        </w:rPr>
        <w:t>, ovunque: «l</w:t>
      </w:r>
      <w:r w:rsidRPr="00D178A4">
        <w:rPr>
          <w:rFonts w:ascii="Times New Roman" w:hAnsi="Times New Roman" w:cs="Times New Roman"/>
        </w:rPr>
        <w:t>e funzioni dell'ordine pubblico internazionale sono dunque tre: impedire l'ingresso nel foro di situazioni co</w:t>
      </w:r>
      <w:r>
        <w:rPr>
          <w:rFonts w:ascii="Times New Roman" w:hAnsi="Times New Roman" w:cs="Times New Roman"/>
        </w:rPr>
        <w:t>nsiderate ingiuste; difendere «</w:t>
      </w:r>
      <w:proofErr w:type="spellStart"/>
      <w:r w:rsidRPr="00D178A4">
        <w:rPr>
          <w:rFonts w:ascii="Times New Roman" w:hAnsi="Times New Roman" w:cs="Times New Roman"/>
          <w:i/>
        </w:rPr>
        <w:t>les</w:t>
      </w:r>
      <w:proofErr w:type="spellEnd"/>
      <w:r w:rsidRPr="00D178A4">
        <w:rPr>
          <w:rFonts w:ascii="Times New Roman" w:hAnsi="Times New Roman" w:cs="Times New Roman"/>
          <w:i/>
        </w:rPr>
        <w:t xml:space="preserve"> </w:t>
      </w:r>
      <w:proofErr w:type="spellStart"/>
      <w:r w:rsidRPr="00D178A4">
        <w:rPr>
          <w:rFonts w:ascii="Times New Roman" w:hAnsi="Times New Roman" w:cs="Times New Roman"/>
          <w:i/>
        </w:rPr>
        <w:t>fondements</w:t>
      </w:r>
      <w:proofErr w:type="spellEnd"/>
      <w:r w:rsidRPr="00D178A4">
        <w:rPr>
          <w:rFonts w:ascii="Times New Roman" w:hAnsi="Times New Roman" w:cs="Times New Roman"/>
          <w:i/>
        </w:rPr>
        <w:t xml:space="preserve"> </w:t>
      </w:r>
      <w:proofErr w:type="spellStart"/>
      <w:r w:rsidRPr="00D178A4">
        <w:rPr>
          <w:rFonts w:ascii="Times New Roman" w:hAnsi="Times New Roman" w:cs="Times New Roman"/>
          <w:i/>
        </w:rPr>
        <w:t>politiques</w:t>
      </w:r>
      <w:proofErr w:type="spellEnd"/>
      <w:r w:rsidRPr="00D178A4">
        <w:rPr>
          <w:rFonts w:ascii="Times New Roman" w:hAnsi="Times New Roman" w:cs="Times New Roman"/>
          <w:i/>
        </w:rPr>
        <w:t xml:space="preserve">, </w:t>
      </w:r>
      <w:proofErr w:type="spellStart"/>
      <w:r w:rsidRPr="00D178A4">
        <w:rPr>
          <w:rFonts w:ascii="Times New Roman" w:hAnsi="Times New Roman" w:cs="Times New Roman"/>
          <w:i/>
        </w:rPr>
        <w:t>sociaux</w:t>
      </w:r>
      <w:proofErr w:type="spellEnd"/>
      <w:r w:rsidRPr="00D178A4">
        <w:rPr>
          <w:rFonts w:ascii="Times New Roman" w:hAnsi="Times New Roman" w:cs="Times New Roman"/>
          <w:i/>
        </w:rPr>
        <w:t xml:space="preserve"> de la </w:t>
      </w:r>
      <w:proofErr w:type="spellStart"/>
      <w:r w:rsidRPr="00D178A4">
        <w:rPr>
          <w:rFonts w:ascii="Times New Roman" w:hAnsi="Times New Roman" w:cs="Times New Roman"/>
          <w:i/>
        </w:rPr>
        <w:t>civilisation</w:t>
      </w:r>
      <w:proofErr w:type="spellEnd"/>
      <w:r w:rsidRPr="00D178A4">
        <w:rPr>
          <w:rFonts w:ascii="Times New Roman" w:hAnsi="Times New Roman" w:cs="Times New Roman"/>
          <w:i/>
        </w:rPr>
        <w:t xml:space="preserve"> </w:t>
      </w:r>
      <w:proofErr w:type="spellStart"/>
      <w:r w:rsidRPr="00D178A4">
        <w:rPr>
          <w:rFonts w:ascii="Times New Roman" w:hAnsi="Times New Roman" w:cs="Times New Roman"/>
          <w:i/>
        </w:rPr>
        <w:t>française</w:t>
      </w:r>
      <w:proofErr w:type="spellEnd"/>
      <w:r w:rsidRPr="00D178A4">
        <w:rPr>
          <w:rFonts w:ascii="Times New Roman" w:hAnsi="Times New Roman" w:cs="Times New Roman"/>
        </w:rPr>
        <w:t>» e, infine, salvaguardare talune scelte di politica del diritto fatte proprie dal legislatore nazionale, che sarebbero altrimenti frustrate qualora si consentisse a talune decisioni di produrre un effetto pieno in Francia</w:t>
      </w:r>
      <w:r>
        <w:rPr>
          <w:rFonts w:ascii="Times New Roman" w:hAnsi="Times New Roman" w:cs="Times New Roman"/>
        </w:rPr>
        <w:t xml:space="preserve">». Così, M. De </w:t>
      </w:r>
      <w:proofErr w:type="spellStart"/>
      <w:r>
        <w:rPr>
          <w:rFonts w:ascii="Times New Roman" w:hAnsi="Times New Roman" w:cs="Times New Roman"/>
        </w:rPr>
        <w:t>Santis</w:t>
      </w:r>
      <w:proofErr w:type="spellEnd"/>
      <w:r>
        <w:rPr>
          <w:rFonts w:ascii="Times New Roman" w:hAnsi="Times New Roman" w:cs="Times New Roman"/>
        </w:rPr>
        <w:t xml:space="preserve">, M.M. </w:t>
      </w:r>
      <w:proofErr w:type="spellStart"/>
      <w:r>
        <w:rPr>
          <w:rFonts w:ascii="Times New Roman" w:hAnsi="Times New Roman" w:cs="Times New Roman"/>
        </w:rPr>
        <w:t>Winkler</w:t>
      </w:r>
      <w:proofErr w:type="spellEnd"/>
      <w:r>
        <w:rPr>
          <w:rFonts w:ascii="Times New Roman" w:hAnsi="Times New Roman" w:cs="Times New Roman"/>
        </w:rPr>
        <w:t xml:space="preserve">, </w:t>
      </w:r>
      <w:r>
        <w:rPr>
          <w:rFonts w:ascii="Times New Roman" w:hAnsi="Times New Roman" w:cs="Times New Roman"/>
          <w:i/>
        </w:rPr>
        <w:t>La riforma francese del diritto dell'arbitrato: un commento sistematico. Parte seconda, il lodo, le impugnazioni e la disciplina dell'arbitrato internazionale</w:t>
      </w:r>
      <w:r>
        <w:rPr>
          <w:rFonts w:ascii="Times New Roman" w:hAnsi="Times New Roman" w:cs="Times New Roman"/>
        </w:rPr>
        <w:t xml:space="preserve">, in </w:t>
      </w:r>
      <w:r>
        <w:rPr>
          <w:rFonts w:ascii="Times New Roman" w:hAnsi="Times New Roman" w:cs="Times New Roman"/>
          <w:i/>
        </w:rPr>
        <w:t xml:space="preserve">Dir. </w:t>
      </w:r>
      <w:proofErr w:type="spellStart"/>
      <w:r>
        <w:rPr>
          <w:rFonts w:ascii="Times New Roman" w:hAnsi="Times New Roman" w:cs="Times New Roman"/>
          <w:i/>
        </w:rPr>
        <w:t>commerc</w:t>
      </w:r>
      <w:proofErr w:type="spellEnd"/>
      <w:r>
        <w:rPr>
          <w:rFonts w:ascii="Times New Roman" w:hAnsi="Times New Roman" w:cs="Times New Roman"/>
          <w:i/>
        </w:rPr>
        <w:t xml:space="preserve">. </w:t>
      </w:r>
      <w:proofErr w:type="spellStart"/>
      <w:r>
        <w:rPr>
          <w:rFonts w:ascii="Times New Roman" w:hAnsi="Times New Roman" w:cs="Times New Roman"/>
          <w:i/>
        </w:rPr>
        <w:t>internaz</w:t>
      </w:r>
      <w:proofErr w:type="spellEnd"/>
      <w:r>
        <w:rPr>
          <w:rFonts w:ascii="Times New Roman" w:hAnsi="Times New Roman" w:cs="Times New Roman"/>
          <w:i/>
        </w:rPr>
        <w:t>.</w:t>
      </w:r>
      <w:r>
        <w:rPr>
          <w:rFonts w:ascii="Times New Roman" w:hAnsi="Times New Roman" w:cs="Times New Roman"/>
        </w:rPr>
        <w:t xml:space="preserve">, 2012, 1, p. 59. Gli Autori richiamano V. </w:t>
      </w:r>
      <w:proofErr w:type="spellStart"/>
      <w:r>
        <w:rPr>
          <w:rFonts w:ascii="Times New Roman" w:hAnsi="Times New Roman" w:cs="Times New Roman"/>
        </w:rPr>
        <w:t>Heuzé</w:t>
      </w:r>
      <w:proofErr w:type="spellEnd"/>
      <w:r>
        <w:rPr>
          <w:rFonts w:ascii="Times New Roman" w:hAnsi="Times New Roman" w:cs="Times New Roman"/>
        </w:rPr>
        <w:t xml:space="preserve">, P. Mayer, </w:t>
      </w:r>
      <w:proofErr w:type="spellStart"/>
      <w:r>
        <w:rPr>
          <w:rFonts w:ascii="Times New Roman" w:hAnsi="Times New Roman" w:cs="Times New Roman"/>
          <w:i/>
        </w:rPr>
        <w:t>Droit</w:t>
      </w:r>
      <w:proofErr w:type="spellEnd"/>
      <w:r>
        <w:rPr>
          <w:rFonts w:ascii="Times New Roman" w:hAnsi="Times New Roman" w:cs="Times New Roman"/>
          <w:i/>
        </w:rPr>
        <w:t xml:space="preserve"> </w:t>
      </w:r>
      <w:proofErr w:type="spellStart"/>
      <w:r>
        <w:rPr>
          <w:rFonts w:ascii="Times New Roman" w:hAnsi="Times New Roman" w:cs="Times New Roman"/>
          <w:i/>
        </w:rPr>
        <w:t>international</w:t>
      </w:r>
      <w:proofErr w:type="spellEnd"/>
      <w:r>
        <w:rPr>
          <w:rFonts w:ascii="Times New Roman" w:hAnsi="Times New Roman" w:cs="Times New Roman"/>
          <w:i/>
        </w:rPr>
        <w:t xml:space="preserve"> </w:t>
      </w:r>
      <w:proofErr w:type="spellStart"/>
      <w:r>
        <w:rPr>
          <w:rFonts w:ascii="Times New Roman" w:hAnsi="Times New Roman" w:cs="Times New Roman"/>
          <w:i/>
        </w:rPr>
        <w:t>privé</w:t>
      </w:r>
      <w:proofErr w:type="spellEnd"/>
      <w:r>
        <w:rPr>
          <w:rFonts w:ascii="Times New Roman" w:hAnsi="Times New Roman" w:cs="Times New Roman"/>
        </w:rPr>
        <w:t>, Parigi, 2011, p. 135 ss..</w:t>
      </w:r>
    </w:p>
  </w:footnote>
  <w:footnote w:id="74">
    <w:p w:rsidR="000F29E3" w:rsidRPr="003567F5" w:rsidRDefault="000F29E3" w:rsidP="003567F5">
      <w:pPr>
        <w:pStyle w:val="Testonotaapidipagina"/>
        <w:jc w:val="both"/>
        <w:rPr>
          <w:rFonts w:ascii="Times New Roman" w:hAnsi="Times New Roman" w:cs="Times New Roman"/>
        </w:rPr>
      </w:pPr>
      <w:r>
        <w:rPr>
          <w:rFonts w:ascii="Times New Roman" w:hAnsi="Times New Roman" w:cs="Times New Roman"/>
        </w:rPr>
        <w:tab/>
      </w:r>
      <w:r w:rsidRPr="003567F5">
        <w:rPr>
          <w:rStyle w:val="Rimandonotaapidipagina"/>
          <w:rFonts w:ascii="Times New Roman" w:hAnsi="Times New Roman" w:cs="Times New Roman"/>
        </w:rPr>
        <w:footnoteRef/>
      </w:r>
      <w:r w:rsidRPr="003567F5">
        <w:rPr>
          <w:rFonts w:ascii="Times New Roman" w:hAnsi="Times New Roman" w:cs="Times New Roman"/>
        </w:rPr>
        <w:t xml:space="preserve"> </w:t>
      </w:r>
      <w:r>
        <w:rPr>
          <w:rFonts w:ascii="Times New Roman" w:hAnsi="Times New Roman" w:cs="Times New Roman"/>
        </w:rPr>
        <w:t xml:space="preserve">Trib. Grosseto, </w:t>
      </w:r>
      <w:proofErr w:type="spellStart"/>
      <w:r>
        <w:rPr>
          <w:rFonts w:ascii="Times New Roman" w:hAnsi="Times New Roman" w:cs="Times New Roman"/>
        </w:rPr>
        <w:t>ord</w:t>
      </w:r>
      <w:proofErr w:type="spellEnd"/>
      <w:r>
        <w:rPr>
          <w:rFonts w:ascii="Times New Roman" w:hAnsi="Times New Roman" w:cs="Times New Roman"/>
        </w:rPr>
        <w:t xml:space="preserve">. 22 dicembre 2015, inedita.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DF3FC3"/>
    <w:rsid w:val="000B5BA0"/>
    <w:rsid w:val="000F29E3"/>
    <w:rsid w:val="000F5775"/>
    <w:rsid w:val="00124EB8"/>
    <w:rsid w:val="00132C61"/>
    <w:rsid w:val="0016632D"/>
    <w:rsid w:val="001D6E93"/>
    <w:rsid w:val="001F0419"/>
    <w:rsid w:val="00213297"/>
    <w:rsid w:val="00243D34"/>
    <w:rsid w:val="00244308"/>
    <w:rsid w:val="002512F3"/>
    <w:rsid w:val="002B6770"/>
    <w:rsid w:val="002C21E8"/>
    <w:rsid w:val="002C6FB6"/>
    <w:rsid w:val="003567F5"/>
    <w:rsid w:val="003D15CE"/>
    <w:rsid w:val="004016BA"/>
    <w:rsid w:val="0044588D"/>
    <w:rsid w:val="00577720"/>
    <w:rsid w:val="005B746A"/>
    <w:rsid w:val="005C1B39"/>
    <w:rsid w:val="005D30BB"/>
    <w:rsid w:val="006B373E"/>
    <w:rsid w:val="006C3A30"/>
    <w:rsid w:val="00746CC8"/>
    <w:rsid w:val="007F0570"/>
    <w:rsid w:val="007F15E4"/>
    <w:rsid w:val="007F74B5"/>
    <w:rsid w:val="00810247"/>
    <w:rsid w:val="008834F6"/>
    <w:rsid w:val="00A31B72"/>
    <w:rsid w:val="00A54371"/>
    <w:rsid w:val="00BB4308"/>
    <w:rsid w:val="00BC4280"/>
    <w:rsid w:val="00BC49E0"/>
    <w:rsid w:val="00CC02A4"/>
    <w:rsid w:val="00D178A4"/>
    <w:rsid w:val="00DF3FC3"/>
    <w:rsid w:val="00E03979"/>
    <w:rsid w:val="00E57C14"/>
    <w:rsid w:val="00F27913"/>
    <w:rsid w:val="00F33B75"/>
    <w:rsid w:val="00F33FC0"/>
    <w:rsid w:val="00F66A0A"/>
    <w:rsid w:val="00FF024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3B7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124EB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24EB8"/>
    <w:rPr>
      <w:sz w:val="20"/>
      <w:szCs w:val="20"/>
    </w:rPr>
  </w:style>
  <w:style w:type="character" w:styleId="Rimandonotaapidipagina">
    <w:name w:val="footnote reference"/>
    <w:basedOn w:val="Carpredefinitoparagrafo"/>
    <w:uiPriority w:val="99"/>
    <w:semiHidden/>
    <w:unhideWhenUsed/>
    <w:rsid w:val="00124EB8"/>
    <w:rPr>
      <w:vertAlign w:val="superscript"/>
    </w:rPr>
  </w:style>
  <w:style w:type="paragraph" w:styleId="Intestazione">
    <w:name w:val="header"/>
    <w:basedOn w:val="Normale"/>
    <w:link w:val="IntestazioneCarattere"/>
    <w:uiPriority w:val="99"/>
    <w:semiHidden/>
    <w:unhideWhenUsed/>
    <w:rsid w:val="00124E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24EB8"/>
  </w:style>
  <w:style w:type="paragraph" w:styleId="Pidipagina">
    <w:name w:val="footer"/>
    <w:basedOn w:val="Normale"/>
    <w:link w:val="PidipaginaCarattere"/>
    <w:uiPriority w:val="99"/>
    <w:unhideWhenUsed/>
    <w:rsid w:val="00124E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4EB8"/>
  </w:style>
  <w:style w:type="paragraph" w:styleId="Paragrafoelenco">
    <w:name w:val="List Paragraph"/>
    <w:basedOn w:val="Normale"/>
    <w:uiPriority w:val="34"/>
    <w:qFormat/>
    <w:rsid w:val="0081024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39CAB-C3D6-4163-9195-FC10FC32F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6584</Words>
  <Characters>37533</Characters>
  <Application>Microsoft Office Word</Application>
  <DocSecurity>0</DocSecurity>
  <Lines>312</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Trap</dc:creator>
  <cp:lastModifiedBy>Francesco Trapella</cp:lastModifiedBy>
  <cp:revision>3</cp:revision>
  <dcterms:created xsi:type="dcterms:W3CDTF">2017-03-26T15:50:00Z</dcterms:created>
  <dcterms:modified xsi:type="dcterms:W3CDTF">2017-04-04T13:43:00Z</dcterms:modified>
</cp:coreProperties>
</file>