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4E31" w14:textId="4C69FD36" w:rsidR="00F7643E" w:rsidRPr="00F7643E" w:rsidRDefault="00F7643E" w:rsidP="00F7643E">
      <w:pPr>
        <w:pStyle w:val="Titolo3"/>
        <w:shd w:val="clear" w:color="auto" w:fill="FFFFFF"/>
        <w:spacing w:line="300" w:lineRule="atLeast"/>
        <w:rPr>
          <w:rFonts w:ascii="Noto Sans" w:hAnsi="Noto Sans" w:cs="Noto Sans"/>
          <w:color w:val="000000"/>
          <w:sz w:val="21"/>
          <w:szCs w:val="21"/>
          <w:lang w:val="en-GB"/>
        </w:rPr>
      </w:pPr>
      <w:r>
        <w:rPr>
          <w:rFonts w:ascii="Noto Sans" w:hAnsi="Noto Sans" w:cs="Noto Sans"/>
          <w:color w:val="000000"/>
          <w:sz w:val="21"/>
          <w:szCs w:val="21"/>
          <w:lang w:val="en-GB"/>
        </w:rPr>
        <w:t>If interested in project work, dissertation, internships related to the following broad topics of similar, please email Prof. Emidia Vagnoni at emidia.vagnoni</w:t>
      </w:r>
      <w:r w:rsidRPr="00F7643E">
        <w:rPr>
          <w:rFonts w:ascii="Noto Sans" w:hAnsi="Noto Sans" w:cs="Noto Sans"/>
          <w:color w:val="000000"/>
          <w:sz w:val="21"/>
          <w:szCs w:val="21"/>
          <w:lang w:val="en-GB"/>
        </w:rPr>
        <w:t>@</w:t>
      </w:r>
      <w:r w:rsidRPr="00F7643E">
        <w:rPr>
          <w:rFonts w:ascii="Noto Sans" w:hAnsi="Noto Sans" w:cs="Noto Sans"/>
          <w:color w:val="000000"/>
          <w:sz w:val="21"/>
          <w:szCs w:val="21"/>
          <w:lang w:val="en-GB"/>
        </w:rPr>
        <w:t>unife.it</w:t>
      </w:r>
    </w:p>
    <w:p w14:paraId="106EF85D" w14:textId="0E1A2E43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Management control systems change to support ESG performance measurement/reporting in the light of EFRAG sustainability standards emanation (Corporate Sustainability Reporting Directive); </w:t>
      </w:r>
    </w:p>
    <w:p w14:paraId="0C3AD0FE" w14:textId="6AE76E47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Changes in the accountant/controller role to enable ESG performance measurement and reporting: Competences' acquisition/development in companies to enhance ESG reporting, in the light of EFRAG sustainability standards emanation.</w:t>
      </w:r>
    </w:p>
    <w:p w14:paraId="47706582" w14:textId="2B855970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SMEs and sustainability reporting in the light of EFRAG standards: barriers and drivers to reporting.</w:t>
      </w:r>
    </w:p>
    <w:p w14:paraId="3DF2FFC6" w14:textId="437C1EE4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Changes in sustainability reporting in public healthcare organizations, in relation to the institutional context (IPSASB and EFRAG orientation on sustainability reporting).</w:t>
      </w:r>
    </w:p>
    <w:p w14:paraId="2E4B16B6" w14:textId="002C0D42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Impact of the corporate sustainability reporting directive on GRIs and SASB standards' utilization in companies.</w:t>
      </w:r>
    </w:p>
    <w:p w14:paraId="11B31E69" w14:textId="3055C2D5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Technological innovation' role to support sustainable business models.</w:t>
      </w:r>
    </w:p>
    <w:p w14:paraId="1FA250E7" w14:textId="1CF63C49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Digitalization and its impact on sustainability performance measurement and reporting (with reference to companies or public healthcare organizations).</w:t>
      </w:r>
    </w:p>
    <w:p w14:paraId="31066E95" w14:textId="44DF4852" w:rsidR="00F7643E" w:rsidRPr="00F7643E" w:rsidRDefault="00F7643E" w:rsidP="00F7643E">
      <w:pPr>
        <w:pStyle w:val="Paragrafoelenco"/>
        <w:numPr>
          <w:ilvl w:val="0"/>
          <w:numId w:val="1"/>
        </w:numPr>
        <w:shd w:val="clear" w:color="auto" w:fill="FFFFFF"/>
        <w:spacing w:before="240" w:after="0" w:line="240" w:lineRule="auto"/>
        <w:ind w:left="851" w:hanging="425"/>
        <w:jc w:val="both"/>
        <w:rPr>
          <w:rFonts w:ascii="Calibri" w:eastAsia="Times New Roman" w:hAnsi="Calibri" w:cs="Calibri"/>
          <w:color w:val="222222"/>
          <w:kern w:val="0"/>
          <w:lang w:val="en-GB" w:eastAsia="it-IT"/>
          <w14:ligatures w14:val="none"/>
        </w:rPr>
      </w:pPr>
      <w:r w:rsidRPr="00F7643E">
        <w:rPr>
          <w:rFonts w:ascii="Noto Sans" w:eastAsia="Times New Roman" w:hAnsi="Noto Sans" w:cs="Noto Sans"/>
          <w:color w:val="000000"/>
          <w:kern w:val="0"/>
          <w:sz w:val="21"/>
          <w:szCs w:val="21"/>
          <w:lang w:val="en-GB" w:eastAsia="it-IT"/>
          <w14:ligatures w14:val="none"/>
        </w:rPr>
        <w:t>Circular economy strategies in public healthcare organizations.</w:t>
      </w:r>
    </w:p>
    <w:p w14:paraId="0650D189" w14:textId="77777777" w:rsidR="005843E2" w:rsidRPr="00F7643E" w:rsidRDefault="005843E2">
      <w:pPr>
        <w:rPr>
          <w:lang w:val="en-GB"/>
        </w:rPr>
      </w:pPr>
    </w:p>
    <w:sectPr w:rsidR="005843E2" w:rsidRPr="00F764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B3DF3"/>
    <w:multiLevelType w:val="hybridMultilevel"/>
    <w:tmpl w:val="8FE0FC5C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42172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3E"/>
    <w:rsid w:val="000A278B"/>
    <w:rsid w:val="005843E2"/>
    <w:rsid w:val="00F7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45D8"/>
  <w15:chartTrackingRefBased/>
  <w15:docId w15:val="{82A75E3A-1CE8-43EB-A6A8-A49F23F1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F76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7643E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go">
    <w:name w:val="go"/>
    <w:basedOn w:val="Carpredefinitoparagrafo"/>
    <w:rsid w:val="00F7643E"/>
  </w:style>
  <w:style w:type="paragraph" w:styleId="Paragrafoelenco">
    <w:name w:val="List Paragraph"/>
    <w:basedOn w:val="Normale"/>
    <w:uiPriority w:val="34"/>
    <w:qFormat/>
    <w:rsid w:val="00F76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Vagnoni Emidia</dc:creator>
  <cp:keywords/>
  <dc:description/>
  <cp:lastModifiedBy>Vagnoni Emidia</cp:lastModifiedBy>
  <cp:revision>1</cp:revision>
  <dcterms:created xsi:type="dcterms:W3CDTF">2023-03-21T08:34:00Z</dcterms:created>
  <dcterms:modified xsi:type="dcterms:W3CDTF">2023-03-21T08:39:00Z</dcterms:modified>
</cp:coreProperties>
</file>