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A7" w:rsidRDefault="006B44A7" w:rsidP="006B44A7">
      <w:pPr>
        <w:jc w:val="both"/>
        <w:rPr>
          <w:rFonts w:ascii="Garamond" w:hAnsi="Garamond"/>
          <w:sz w:val="24"/>
          <w:szCs w:val="24"/>
        </w:rPr>
      </w:pPr>
    </w:p>
    <w:p w:rsidR="006B44A7" w:rsidRPr="006B44A7" w:rsidRDefault="006B44A7" w:rsidP="006B44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Gli studenti che hanno nel piano di studi gli esami di Diritto processuale penale I e Diritto processuale penale</w:t>
      </w:r>
      <w:r w:rsidR="00C744A7">
        <w:rPr>
          <w:rFonts w:ascii="Garamond" w:hAnsi="Garamond"/>
          <w:sz w:val="24"/>
          <w:szCs w:val="24"/>
        </w:rPr>
        <w:t xml:space="preserve"> II possono scegliere </w:t>
      </w:r>
      <w:r>
        <w:rPr>
          <w:rFonts w:ascii="Garamond" w:hAnsi="Garamond"/>
          <w:sz w:val="24"/>
          <w:szCs w:val="24"/>
        </w:rPr>
        <w:t>se sostenere l’esame in forma unitaria (in tal caso il programma coincide con quello dell’attuale corso di Diritto processuale penale da 15 crediti), oppure mantenere gli esami separati. In quest’ultimo caso i programmi sono i seguenti:</w:t>
      </w:r>
    </w:p>
    <w:p w:rsidR="006B44A7" w:rsidRDefault="006B44A7" w:rsidP="006B44A7">
      <w:pPr>
        <w:jc w:val="both"/>
        <w:rPr>
          <w:rFonts w:ascii="Garamond" w:hAnsi="Garamond"/>
          <w:sz w:val="24"/>
          <w:szCs w:val="24"/>
        </w:rPr>
      </w:pPr>
    </w:p>
    <w:p w:rsidR="00F167E6" w:rsidRPr="006B44A7" w:rsidRDefault="006B44A7" w:rsidP="006B44A7">
      <w:pPr>
        <w:jc w:val="both"/>
        <w:rPr>
          <w:rFonts w:ascii="Garamond" w:hAnsi="Garamond"/>
          <w:sz w:val="24"/>
          <w:szCs w:val="24"/>
        </w:rPr>
      </w:pPr>
      <w:r w:rsidRPr="006B44A7">
        <w:rPr>
          <w:rFonts w:ascii="Garamond" w:hAnsi="Garamond"/>
          <w:sz w:val="24"/>
          <w:szCs w:val="24"/>
        </w:rPr>
        <w:t>S</w:t>
      </w:r>
      <w:r w:rsidR="00F167E6" w:rsidRPr="006B44A7">
        <w:rPr>
          <w:rFonts w:ascii="Garamond" w:hAnsi="Garamond"/>
          <w:sz w:val="24"/>
          <w:szCs w:val="24"/>
        </w:rPr>
        <w:t xml:space="preserve">TUDENTI CHE </w:t>
      </w:r>
      <w:r w:rsidR="00C744A7">
        <w:rPr>
          <w:rFonts w:ascii="Garamond" w:hAnsi="Garamond"/>
          <w:sz w:val="24"/>
          <w:szCs w:val="24"/>
        </w:rPr>
        <w:t xml:space="preserve">MANTENGONO SEPARATI GLI ESAMI DI </w:t>
      </w:r>
      <w:r w:rsidR="00F167E6" w:rsidRPr="006B44A7">
        <w:rPr>
          <w:rFonts w:ascii="Garamond" w:hAnsi="Garamond"/>
          <w:sz w:val="24"/>
          <w:szCs w:val="24"/>
        </w:rPr>
        <w:t>DIRITTO PROCESSUALE PENALE I E DIRITTO PROCESSUALE PENALE II</w:t>
      </w:r>
    </w:p>
    <w:p w:rsidR="00FD0F34" w:rsidRPr="006B44A7" w:rsidRDefault="00FD0F34" w:rsidP="006B44A7">
      <w:pPr>
        <w:jc w:val="both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proofErr w:type="spellStart"/>
      <w:r w:rsidRPr="006B44A7">
        <w:rPr>
          <w:rFonts w:ascii="Garamond" w:hAnsi="Garamond" w:cs="Arial"/>
          <w:smallCaps/>
          <w:color w:val="222222"/>
          <w:sz w:val="24"/>
          <w:szCs w:val="24"/>
          <w:shd w:val="clear" w:color="auto" w:fill="FFFFFF"/>
        </w:rPr>
        <w:t>Camon</w:t>
      </w:r>
      <w:proofErr w:type="spellEnd"/>
      <w:r w:rsidRPr="006B44A7">
        <w:rPr>
          <w:rFonts w:ascii="Garamond" w:hAnsi="Garamond" w:cs="Arial"/>
          <w:smallCaps/>
          <w:color w:val="222222"/>
          <w:sz w:val="24"/>
          <w:szCs w:val="24"/>
          <w:shd w:val="clear" w:color="auto" w:fill="FFFFFF"/>
        </w:rPr>
        <w:t>-Cesari-Daniele-Di Bitonto-Negri-</w:t>
      </w:r>
      <w:proofErr w:type="spellStart"/>
      <w:r w:rsidRPr="006B44A7">
        <w:rPr>
          <w:rFonts w:ascii="Garamond" w:hAnsi="Garamond" w:cs="Arial"/>
          <w:smallCaps/>
          <w:color w:val="222222"/>
          <w:sz w:val="24"/>
          <w:szCs w:val="24"/>
          <w:shd w:val="clear" w:color="auto" w:fill="FFFFFF"/>
        </w:rPr>
        <w:t>Paulesu</w:t>
      </w:r>
      <w:proofErr w:type="spellEnd"/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, </w:t>
      </w:r>
      <w:r w:rsidRPr="006B44A7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Fondamenti di procedura penale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, 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4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  <w:vertAlign w:val="superscript"/>
        </w:rPr>
        <w:t>a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ed., </w:t>
      </w:r>
      <w:proofErr w:type="spellStart"/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Wolters</w:t>
      </w:r>
      <w:proofErr w:type="spellEnd"/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Kluwer</w:t>
      </w:r>
      <w:proofErr w:type="spellEnd"/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-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Cedam, 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Milano, </w:t>
      </w:r>
      <w:bookmarkStart w:id="0" w:name="_GoBack"/>
      <w:bookmarkEnd w:id="0"/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202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3</w:t>
      </w:r>
      <w:r w:rsid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.</w:t>
      </w:r>
    </w:p>
    <w:p w:rsidR="00FD0F34" w:rsidRDefault="00FD0F34" w:rsidP="006B44A7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  <w:r w:rsidRPr="006B44A7">
        <w:rPr>
          <w:rFonts w:ascii="Garamond" w:hAnsi="Garamond" w:cs="Arial"/>
          <w:b/>
          <w:color w:val="222222"/>
          <w:sz w:val="24"/>
          <w:szCs w:val="24"/>
          <w:shd w:val="clear" w:color="auto" w:fill="FFFFFF"/>
        </w:rPr>
        <w:t>Diritto processuale penale I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: pag. 1-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730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(cap. I-XV)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;</w:t>
      </w:r>
    </w:p>
    <w:p w:rsidR="006B44A7" w:rsidRPr="006B44A7" w:rsidRDefault="006B44A7" w:rsidP="006B44A7">
      <w:pPr>
        <w:pStyle w:val="Paragrafoelenco"/>
        <w:jc w:val="both"/>
        <w:rPr>
          <w:rFonts w:ascii="Garamond" w:hAnsi="Garamond" w:cs="Arial"/>
          <w:color w:val="222222"/>
          <w:sz w:val="24"/>
          <w:szCs w:val="24"/>
          <w:shd w:val="clear" w:color="auto" w:fill="FFFFFF"/>
        </w:rPr>
      </w:pPr>
    </w:p>
    <w:p w:rsidR="00FD0F34" w:rsidRPr="006B44A7" w:rsidRDefault="00FD0F34" w:rsidP="006B44A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B44A7">
        <w:rPr>
          <w:rFonts w:ascii="Garamond" w:hAnsi="Garamond" w:cs="Arial"/>
          <w:b/>
          <w:color w:val="222222"/>
          <w:sz w:val="24"/>
          <w:szCs w:val="24"/>
          <w:shd w:val="clear" w:color="auto" w:fill="FFFFFF"/>
        </w:rPr>
        <w:t>Diritto processuale penale II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: pag. 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731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-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1006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; </w:t>
      </w:r>
      <w:r w:rsidR="00117686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1024-1039</w:t>
      </w:r>
      <w:r w:rsidR="008F7C8F"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 (cap. XVI-XVIII; cap. XX, §§ 1-5)</w:t>
      </w:r>
      <w:r w:rsidRPr="006B44A7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F167E6" w:rsidRPr="00F03363" w:rsidRDefault="00F167E6" w:rsidP="00F03363"/>
    <w:sectPr w:rsidR="00F167E6" w:rsidRPr="00F03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57B9F"/>
    <w:multiLevelType w:val="hybridMultilevel"/>
    <w:tmpl w:val="A932740E"/>
    <w:lvl w:ilvl="0" w:tplc="B0809C40">
      <w:start w:val="1"/>
      <w:numFmt w:val="bullet"/>
      <w:lvlText w:val="–"/>
      <w:lvlJc w:val="left"/>
      <w:pPr>
        <w:ind w:left="720" w:hanging="360"/>
      </w:pPr>
      <w:rPr>
        <w:rFonts w:ascii="Garamond" w:eastAsiaTheme="minorHAnsi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9F"/>
    <w:rsid w:val="00117686"/>
    <w:rsid w:val="00370A14"/>
    <w:rsid w:val="00612710"/>
    <w:rsid w:val="006B44A7"/>
    <w:rsid w:val="008E7587"/>
    <w:rsid w:val="008F7C8F"/>
    <w:rsid w:val="00977BED"/>
    <w:rsid w:val="00A40AE4"/>
    <w:rsid w:val="00BB019A"/>
    <w:rsid w:val="00BC585F"/>
    <w:rsid w:val="00C744A7"/>
    <w:rsid w:val="00E5539F"/>
    <w:rsid w:val="00F03363"/>
    <w:rsid w:val="00F167E6"/>
    <w:rsid w:val="00FC3427"/>
    <w:rsid w:val="00FD0F34"/>
    <w:rsid w:val="00F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A014"/>
  <w15:docId w15:val="{1D864268-CCD0-4850-9E86-045AF62D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Daniele Negri</cp:lastModifiedBy>
  <cp:revision>4</cp:revision>
  <dcterms:created xsi:type="dcterms:W3CDTF">2022-03-07T17:11:00Z</dcterms:created>
  <dcterms:modified xsi:type="dcterms:W3CDTF">2023-10-10T09:51:00Z</dcterms:modified>
</cp:coreProperties>
</file>